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Ｐゴシック" w:hAnsi="ＭＳ Ｐゴシック" w:eastAsia="ＭＳ Ｐゴシック" w:asciiTheme="majorEastAsia" w:eastAsiaTheme="majorEastAsia" w:hAnsiTheme="majorEastAsia"/>
          <w:kern w:val="0"/>
          <w:sz w:val="32"/>
          <w:szCs w:val="32"/>
        </w:rPr>
      </w:pPr>
      <w:r>
        <w:rPr>
          <w:rFonts w:ascii="ＭＳ Ｐゴシック" w:hAnsi="ＭＳ Ｐゴシック" w:eastAsia="ＭＳ Ｐゴシック" w:asciiTheme="majorEastAsia" w:eastAsiaTheme="majorEastAsia" w:hAnsiTheme="majorEastAsia"/>
          <w:kern w:val="0"/>
          <w:sz w:val="32"/>
          <w:szCs w:val="32"/>
        </w:rPr>
        <w:t>鴻巣市（仮称）包括施設管理業務委託の実施に向けた</w:t>
      </w:r>
    </w:p>
    <w:p>
      <w:pPr>
        <w:pStyle w:val="Normal"/>
        <w:jc w:val="center"/>
        <w:rPr>
          <w:rFonts w:ascii="ＭＳ Ｐゴシック" w:hAnsi="ＭＳ Ｐゴシック" w:eastAsia="ＭＳ Ｐゴシック" w:asciiTheme="majorEastAsia" w:eastAsiaTheme="majorEastAsia" w:hAnsiTheme="majorEastAsia"/>
          <w:kern w:val="0"/>
          <w:sz w:val="32"/>
          <w:szCs w:val="32"/>
        </w:rPr>
      </w:pPr>
      <w:r>
        <w:rPr>
          <w:rFonts w:ascii="ＭＳ Ｐゴシック" w:hAnsi="ＭＳ Ｐゴシック" w:eastAsia="ＭＳ Ｐゴシック" w:asciiTheme="majorEastAsia" w:eastAsiaTheme="majorEastAsia" w:hAnsiTheme="majorEastAsia"/>
          <w:kern w:val="0"/>
          <w:sz w:val="32"/>
          <w:szCs w:val="32"/>
        </w:rPr>
        <w:t>サウンディング型市場調査実施要領</w:t>
      </w:r>
    </w:p>
    <w:p>
      <w:pPr>
        <w:pStyle w:val="Normal"/>
        <w:jc w:val="left"/>
        <w:rPr>
          <w:rFonts w:ascii="ＭＳ ゴシック" w:hAnsi="ＭＳ ゴシック" w:eastAsia="ＭＳ ゴシック" w:cs="ＭＳ ゴシック"/>
          <w:kern w:val="0"/>
          <w:szCs w:val="21"/>
          <w:u w:val="single"/>
        </w:rPr>
      </w:pPr>
      <w:r>
        <w:rPr>
          <w:rFonts w:eastAsia="ＭＳ ゴシック" w:cs="ＭＳ ゴシック" w:ascii="ＭＳ ゴシック" w:hAnsi="ＭＳ ゴシック"/>
          <w:kern w:val="0"/>
          <w:szCs w:val="21"/>
          <w:u w:val="single"/>
        </w:rPr>
      </w:r>
    </w:p>
    <w:p>
      <w:pPr>
        <w:pStyle w:val="Normal"/>
        <w:jc w:val="left"/>
        <w:rPr>
          <w:rFonts w:ascii="ＭＳ ゴシック" w:hAnsi="ＭＳ ゴシック" w:eastAsia="ＭＳ ゴシック" w:cs="ＭＳ ゴシック"/>
          <w:kern w:val="0"/>
          <w:szCs w:val="21"/>
          <w:u w:val="single"/>
        </w:rPr>
      </w:pPr>
      <w:r>
        <w:rPr>
          <w:rFonts w:ascii="ＭＳ ゴシック" w:hAnsi="ＭＳ ゴシック" w:cs="ＭＳ ゴシック" w:eastAsia="ＭＳ ゴシック"/>
          <w:kern w:val="0"/>
          <w:szCs w:val="21"/>
          <w:u w:val="single"/>
        </w:rPr>
        <w:t>１．調査の趣旨</w:t>
      </w:r>
    </w:p>
    <w:p>
      <w:pPr>
        <w:pStyle w:val="Normal"/>
        <w:ind w:firstLine="210"/>
        <w:jc w:val="left"/>
        <w:rPr>
          <w:rFonts w:ascii="ＭＳ 明朝" w:hAnsi="ＭＳ 明朝" w:eastAsia="ＭＳ 明朝" w:cs="ＭＳ 明朝"/>
          <w:kern w:val="0"/>
          <w:szCs w:val="21"/>
        </w:rPr>
      </w:pPr>
      <w:r>
        <w:rPr>
          <w:rFonts w:ascii="ＭＳ 明朝" w:hAnsi="ＭＳ 明朝" w:cs="ＭＳ 明朝" w:eastAsia="ＭＳ 明朝"/>
          <w:kern w:val="0"/>
          <w:szCs w:val="21"/>
        </w:rPr>
        <w:t>本市の公共施設の維持管理については、施設主管課において、施設毎・業務毎に契約事務を行っており、膨大な事務作業と併せ施設毎に管理水準のばらつきが生じています。</w:t>
      </w:r>
    </w:p>
    <w:p>
      <w:pPr>
        <w:pStyle w:val="Normal"/>
        <w:ind w:firstLine="210"/>
        <w:jc w:val="left"/>
        <w:rPr>
          <w:rFonts w:ascii="ＭＳ 明朝" w:hAnsi="ＭＳ 明朝" w:eastAsia="ＭＳ 明朝" w:cs="ＭＳ 明朝"/>
          <w:kern w:val="0"/>
          <w:szCs w:val="21"/>
        </w:rPr>
      </w:pPr>
      <w:r>
        <w:rPr>
          <w:rFonts w:ascii="ＭＳ 明朝" w:hAnsi="ＭＳ 明朝" w:cs="ＭＳ 明朝" w:eastAsia="ＭＳ 明朝"/>
          <w:kern w:val="0"/>
          <w:szCs w:val="21"/>
        </w:rPr>
        <w:t>そのため、本市ではこれまで施設ごと・業務ごとに発注していた設備点検や保守管理等の業務について、複数の施設・業務を一括して委託する「（仮称）包括施設管理業務委託」を令和４年度から導入</w:t>
      </w:r>
      <w:r>
        <w:rPr>
          <w:rFonts w:ascii="ＭＳ 明朝" w:hAnsi="ＭＳ 明朝" w:cs="ＭＳ 明朝" w:eastAsia="ＭＳ 明朝"/>
          <w:kern w:val="0"/>
          <w:szCs w:val="21"/>
        </w:rPr>
        <w:t>を予定</w:t>
      </w:r>
      <w:r>
        <w:rPr>
          <w:rFonts w:ascii="ＭＳ 明朝" w:hAnsi="ＭＳ 明朝" w:cs="ＭＳ 明朝" w:eastAsia="ＭＳ 明朝"/>
          <w:kern w:val="0"/>
          <w:szCs w:val="21"/>
        </w:rPr>
        <w:t>し、限られた予算の中で、課題解決のために専門的知識やノウハウを持つ民間事業者に連携を求め、業務水準の統一・向上や事務の効率化等を図ります。</w:t>
      </w:r>
    </w:p>
    <w:p>
      <w:pPr>
        <w:pStyle w:val="Normal"/>
        <w:ind w:firstLine="210"/>
        <w:jc w:val="left"/>
        <w:rPr>
          <w:rFonts w:ascii="ＭＳ 明朝" w:hAnsi="ＭＳ 明朝" w:eastAsia="ＭＳ 明朝" w:cs="ＭＳ 明朝"/>
          <w:kern w:val="0"/>
          <w:szCs w:val="21"/>
        </w:rPr>
      </w:pPr>
      <w:r>
        <w:rPr>
          <w:rFonts w:ascii="ＭＳ 明朝" w:hAnsi="ＭＳ 明朝" w:cs="ＭＳ 明朝" w:eastAsia="ＭＳ 明朝"/>
          <w:kern w:val="0"/>
          <w:szCs w:val="21"/>
        </w:rPr>
        <w:t>本調査は、令和３年度に予定する公募型プロポーザル方式による候補者選定に先立ち、サウンディング型の調査（ヒアリング）を通じて、委託費の概算額、民間事業者の皆様の本業務への参入意向や参入しやすい公募条件等を把握するために実施するものです。</w:t>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ゴシック" w:hAnsi="ＭＳ ゴシック" w:eastAsia="ＭＳ ゴシック" w:cs="ＭＳ ゴシック"/>
          <w:kern w:val="0"/>
          <w:szCs w:val="21"/>
          <w:u w:val="single"/>
        </w:rPr>
      </w:pPr>
      <w:r>
        <w:rPr>
          <w:rFonts w:ascii="ＭＳ ゴシック" w:hAnsi="ＭＳ ゴシック" w:cs="ＭＳ ゴシック" w:eastAsia="ＭＳ ゴシック"/>
          <w:kern w:val="0"/>
          <w:szCs w:val="21"/>
          <w:u w:val="single"/>
        </w:rPr>
        <w:t>２．調査の概要</w:t>
      </w:r>
    </w:p>
    <w:p>
      <w:pPr>
        <w:pStyle w:val="Normal"/>
        <w:ind w:firstLine="105"/>
        <w:jc w:val="left"/>
        <w:rPr>
          <w:rFonts w:ascii="ＭＳ ゴシック" w:hAnsi="ＭＳ ゴシック" w:eastAsia="ＭＳ ゴシック" w:cs="ＭＳ ゴシック"/>
          <w:kern w:val="0"/>
          <w:szCs w:val="21"/>
          <w:u w:val="single"/>
        </w:rPr>
      </w:pPr>
      <w:r>
        <w:rPr>
          <w:rFonts w:ascii="ＭＳ Ｐゴシック" w:hAnsi="ＭＳ Ｐゴシック" w:cs="ＭＳ 明朝" w:eastAsia="ＭＳ Ｐゴシック" w:asciiTheme="majorEastAsia" w:eastAsiaTheme="majorEastAsia" w:hAnsiTheme="majorEastAsia"/>
          <w:kern w:val="0"/>
          <w:szCs w:val="21"/>
        </w:rPr>
        <w:t>（１）調査の名称</w:t>
      </w:r>
    </w:p>
    <w:p>
      <w:pPr>
        <w:pStyle w:val="Normal"/>
        <w:ind w:firstLine="420"/>
        <w:jc w:val="left"/>
        <w:rPr>
          <w:rFonts w:ascii="ＭＳ 明朝" w:hAnsi="ＭＳ 明朝" w:eastAsia="ＭＳ 明朝" w:cs="ＭＳ 明朝"/>
          <w:kern w:val="0"/>
          <w:szCs w:val="21"/>
        </w:rPr>
      </w:pPr>
      <w:r>
        <w:rPr>
          <w:rFonts w:ascii="ＭＳ 明朝" w:hAnsi="ＭＳ 明朝" w:cs="ＭＳ 明朝" w:eastAsia="ＭＳ 明朝"/>
          <w:kern w:val="0"/>
          <w:szCs w:val="21"/>
        </w:rPr>
        <w:t>鴻巣市（仮称）公共施設包括管理業務委託の実施に向けたサウンディング型市場調査</w:t>
      </w:r>
    </w:p>
    <w:p>
      <w:pPr>
        <w:pStyle w:val="Normal"/>
        <w:ind w:firstLine="42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105"/>
        <w:jc w:val="left"/>
        <w:rPr>
          <w:rFonts w:ascii="ＭＳ 明朝" w:hAnsi="ＭＳ 明朝" w:eastAsia="ＭＳ 明朝" w:cs="ＭＳ 明朝"/>
          <w:kern w:val="0"/>
          <w:szCs w:val="21"/>
        </w:rPr>
      </w:pPr>
      <w:r>
        <w:rPr>
          <w:rFonts w:ascii="ＭＳ Ｐゴシック" w:hAnsi="ＭＳ Ｐゴシック" w:cs="ＭＳ 明朝" w:eastAsia="ＭＳ Ｐゴシック" w:asciiTheme="majorEastAsia" w:eastAsiaTheme="majorEastAsia" w:hAnsiTheme="majorEastAsia"/>
          <w:kern w:val="0"/>
          <w:szCs w:val="21"/>
        </w:rPr>
        <w:t>（２）調査の対象者</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本市の（仮称）包括施設管理業務委託への参画を検討したい法人又は法人のグループ</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（※関係法令等に基づき、参加が好ましくない法人等は除きます。）</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（３）調査対象となる業務等の概要</w:t>
      </w:r>
    </w:p>
    <w:p>
      <w:pPr>
        <w:pStyle w:val="Normal"/>
        <w:ind w:left="420" w:hanging="420"/>
        <w:jc w:val="left"/>
        <w:rPr>
          <w:rFonts w:ascii="ＭＳ Ｐゴシック" w:hAnsi="ＭＳ Ｐゴシック" w:eastAsia="ＭＳ Ｐゴシック" w:cs="ＭＳ 明朝" w:asciiTheme="majorEastAsia" w:eastAsiaTheme="majorEastAsia" w:hAnsiTheme="majorEastAsia"/>
          <w:kern w:val="0"/>
          <w:szCs w:val="21"/>
        </w:rPr>
      </w:pPr>
      <w:r>
        <w:rPr>
          <w:rFonts w:ascii="ＭＳ 明朝" w:hAnsi="ＭＳ 明朝" w:cs="ＭＳ 明朝" w:eastAsia="ＭＳ 明朝"/>
          <w:kern w:val="0"/>
          <w:szCs w:val="21"/>
        </w:rPr>
        <w:t>　　</w:t>
      </w:r>
      <w:r>
        <w:rPr>
          <w:rFonts w:ascii="ＭＳ Ｐゴシック" w:hAnsi="ＭＳ Ｐゴシック" w:cs="ＭＳ 明朝" w:eastAsia="ＭＳ Ｐゴシック" w:asciiTheme="majorEastAsia" w:eastAsiaTheme="majorEastAsia" w:hAnsiTheme="majorEastAsia"/>
          <w:kern w:val="0"/>
          <w:szCs w:val="21"/>
        </w:rPr>
        <w:t>①　業務範囲（案）</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現時点で、検討している対象施設及び対象業務は、別紙３「検討対象施設・対象業務一覧</w:t>
      </w:r>
      <w:r>
        <w:rPr>
          <w:rFonts w:eastAsia="ＭＳ 明朝" w:cs="ＭＳ 明朝" w:ascii="ＭＳ 明朝" w:hAnsi="ＭＳ 明朝"/>
          <w:kern w:val="0"/>
          <w:szCs w:val="21"/>
        </w:rPr>
        <w:t>(</w:t>
      </w:r>
      <w:r>
        <w:rPr>
          <w:rFonts w:ascii="ＭＳ 明朝" w:hAnsi="ＭＳ 明朝" w:cs="ＭＳ 明朝" w:eastAsia="ＭＳ 明朝"/>
          <w:kern w:val="0"/>
          <w:szCs w:val="21"/>
        </w:rPr>
        <w:t>案</w:t>
      </w:r>
      <w:r>
        <w:rPr>
          <w:rFonts w:eastAsia="ＭＳ 明朝" w:cs="ＭＳ 明朝" w:ascii="ＭＳ 明朝" w:hAnsi="ＭＳ 明朝"/>
          <w:kern w:val="0"/>
          <w:szCs w:val="21"/>
        </w:rPr>
        <w:t>)</w:t>
      </w:r>
      <w:r>
        <w:rPr>
          <w:rFonts w:ascii="ＭＳ 明朝" w:hAnsi="ＭＳ 明朝" w:cs="ＭＳ 明朝" w:eastAsia="ＭＳ 明朝"/>
          <w:kern w:val="0"/>
          <w:szCs w:val="21"/>
        </w:rPr>
        <w:t>」のとおりです。（新設予定施設は含まれておりません。）</w:t>
      </w:r>
    </w:p>
    <w:p>
      <w:pPr>
        <w:pStyle w:val="Normal"/>
        <w:ind w:left="840" w:firstLine="210"/>
        <w:jc w:val="left"/>
        <w:rPr>
          <w:rFonts w:ascii="ＭＳ 明朝" w:hAnsi="ＭＳ 明朝" w:eastAsia="ＭＳ 明朝" w:cs="ＭＳ 明朝"/>
          <w:kern w:val="0"/>
          <w:szCs w:val="21"/>
        </w:rPr>
      </w:pPr>
      <w:r>
        <w:rPr>
          <w:rFonts w:ascii="ＭＳ 明朝" w:hAnsi="ＭＳ 明朝" w:cs="ＭＳ 明朝" w:eastAsia="ＭＳ 明朝"/>
          <w:kern w:val="0"/>
          <w:szCs w:val="21"/>
        </w:rPr>
        <w:t>対象施設や業務の範囲については、本調査の結果等を参考に、除外・追加する予定です。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参加申込事業者には、申込後、現行で発注している「施設仕様一覧」を送付します。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【特記事項】</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・求める管理水準は、法令水準を最低水準とします。</w:t>
      </w:r>
    </w:p>
    <w:p>
      <w:pPr>
        <w:pStyle w:val="Normal"/>
        <w:ind w:left="840" w:firstLine="210"/>
        <w:jc w:val="left"/>
        <w:rPr>
          <w:rFonts w:ascii="ＭＳ 明朝" w:hAnsi="ＭＳ 明朝" w:eastAsia="ＭＳ 明朝" w:cs="ＭＳ 明朝"/>
          <w:kern w:val="0"/>
          <w:szCs w:val="21"/>
        </w:rPr>
      </w:pPr>
      <w:r>
        <w:rPr>
          <w:rFonts w:ascii="ＭＳ 明朝" w:hAnsi="ＭＳ 明朝" w:cs="ＭＳ 明朝" w:eastAsia="ＭＳ 明朝"/>
          <w:kern w:val="0"/>
          <w:szCs w:val="21"/>
        </w:rPr>
        <w:t>・１３０万円以下までの小破修繕を内包する予定です。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・全施設の巡回点検を内包する予定です。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・指定管理者制度を導入し、管理運営する施設も含まれています。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（※対象施設には、</w:t>
      </w:r>
      <w:r>
        <w:rPr>
          <w:rFonts w:eastAsia="ＭＳ 明朝" w:cs="ＭＳ 明朝" w:ascii="ＭＳ 明朝" w:hAnsi="ＭＳ 明朝"/>
          <w:kern w:val="0"/>
          <w:szCs w:val="21"/>
        </w:rPr>
        <w:t>J</w:t>
      </w:r>
      <w:r>
        <w:rPr>
          <w:rFonts w:ascii="ＭＳ 明朝" w:hAnsi="ＭＳ 明朝" w:cs="ＭＳ 明朝" w:eastAsia="ＭＳ 明朝"/>
          <w:kern w:val="0"/>
          <w:szCs w:val="21"/>
        </w:rPr>
        <w:t>列に○付けしています。）</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施設の位置や概要については、以下もご参照ください。</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（一部未反映の施設がある他、番号等は別紙３と一致しないので、ご留意下さい。）</w:t>
      </w:r>
    </w:p>
    <w:p>
      <w:pPr>
        <w:pStyle w:val="Normal"/>
        <w:ind w:left="1470" w:hanging="840"/>
        <w:jc w:val="left"/>
        <w:rPr>
          <w:rFonts w:ascii="ＭＳ 明朝" w:hAnsi="ＭＳ 明朝" w:eastAsia="ＭＳ 明朝" w:cs="ＭＳ 明朝"/>
          <w:kern w:val="0"/>
          <w:szCs w:val="21"/>
        </w:rPr>
      </w:pPr>
      <w:r>
        <w:rPr>
          <w:rFonts w:ascii="ＭＳ 明朝" w:hAnsi="ＭＳ 明朝" w:cs="ＭＳ 明朝" w:eastAsia="ＭＳ 明朝"/>
          <w:kern w:val="0"/>
          <w:szCs w:val="21"/>
        </w:rPr>
        <w:t>　　◆鴻巣市施設ガイドブック（</w:t>
      </w:r>
      <w:r>
        <w:rPr>
          <w:rFonts w:eastAsia="ＭＳ 明朝" w:cs="ＭＳ 明朝" w:ascii="ＭＳ 明朝" w:hAnsi="ＭＳ 明朝"/>
          <w:kern w:val="0"/>
          <w:szCs w:val="21"/>
        </w:rPr>
        <w:t>H31.4</w:t>
      </w:r>
      <w:r>
        <w:rPr>
          <w:rFonts w:ascii="ＭＳ 明朝" w:hAnsi="ＭＳ 明朝" w:cs="ＭＳ 明朝" w:eastAsia="ＭＳ 明朝"/>
          <w:kern w:val="0"/>
          <w:szCs w:val="21"/>
        </w:rPr>
        <w:t>月版）</w:t>
      </w:r>
    </w:p>
    <w:p>
      <w:pPr>
        <w:pStyle w:val="Normal"/>
        <w:ind w:left="1470" w:hanging="0"/>
        <w:jc w:val="left"/>
        <w:rPr>
          <w:rFonts w:ascii="ＭＳ 明朝" w:hAnsi="ＭＳ 明朝" w:eastAsia="ＭＳ 明朝" w:cs="ＭＳ 明朝"/>
          <w:kern w:val="0"/>
          <w:szCs w:val="21"/>
        </w:rPr>
      </w:pPr>
      <w:r>
        <w:rPr>
          <w:rFonts w:eastAsia="ＭＳ 明朝" w:cs="ＭＳ 明朝" w:ascii="ＭＳ 明朝" w:hAnsi="ＭＳ 明朝"/>
          <w:kern w:val="0"/>
          <w:szCs w:val="21"/>
        </w:rPr>
        <w:t>http://www.city.kounosu.saitama.jp/shisetsu/1455525737229.html</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◆鴻巣市公共施設等総合管理計画（</w:t>
      </w:r>
      <w:r>
        <w:rPr>
          <w:rFonts w:eastAsia="ＭＳ 明朝" w:cs="ＭＳ 明朝" w:ascii="ＭＳ 明朝" w:hAnsi="ＭＳ 明朝"/>
          <w:kern w:val="0"/>
          <w:szCs w:val="21"/>
        </w:rPr>
        <w:t>H28.3</w:t>
      </w:r>
      <w:r>
        <w:rPr>
          <w:rFonts w:ascii="ＭＳ 明朝" w:hAnsi="ＭＳ 明朝" w:cs="ＭＳ 明朝" w:eastAsia="ＭＳ 明朝"/>
          <w:kern w:val="0"/>
          <w:szCs w:val="21"/>
        </w:rPr>
        <w:t>月策定）</w:t>
      </w:r>
    </w:p>
    <w:p>
      <w:pPr>
        <w:pStyle w:val="Normal"/>
        <w:ind w:left="84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w:t>
      </w:r>
      <w:r>
        <w:rPr>
          <w:rFonts w:eastAsia="ＭＳ 明朝" w:cs="ＭＳ 明朝" w:ascii="ＭＳ 明朝" w:hAnsi="ＭＳ 明朝"/>
          <w:kern w:val="0"/>
          <w:szCs w:val="21"/>
        </w:rPr>
        <w:t>http://www.city.kounosu.saitama.jp/shisei/keikaku/1490870345411.html</w:t>
      </w:r>
    </w:p>
    <w:p>
      <w:pPr>
        <w:pStyle w:val="Normal"/>
        <w:ind w:left="840" w:hanging="21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420"/>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②</w:t>
      </w:r>
      <w:r>
        <w:rPr>
          <w:rFonts w:ascii="ＭＳ Ｐゴシック" w:hAnsi="ＭＳ Ｐゴシック" w:cs="ＭＳ 明朝" w:eastAsia="ＭＳ Ｐゴシック" w:asciiTheme="majorEastAsia" w:eastAsiaTheme="majorEastAsia" w:hAnsiTheme="majorEastAsia"/>
          <w:kern w:val="0"/>
          <w:szCs w:val="21"/>
        </w:rPr>
        <w:t>　契約期間　</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　５年間（予定）</w:t>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Ｐゴシック" w:hAnsi="ＭＳ Ｐゴシック" w:eastAsia="ＭＳ Ｐゴシック" w:cs="ＭＳ 明朝" w:asciiTheme="majorEastAsia" w:eastAsiaTheme="majorEastAsia" w:hAnsiTheme="majorEastAsia"/>
          <w:kern w:val="0"/>
          <w:szCs w:val="21"/>
        </w:rPr>
      </w:pPr>
      <w:r>
        <w:rPr>
          <w:rFonts w:ascii="ＭＳ 明朝" w:hAnsi="ＭＳ 明朝" w:cs="ＭＳ 明朝" w:eastAsia="ＭＳ 明朝"/>
          <w:kern w:val="0"/>
          <w:szCs w:val="21"/>
        </w:rPr>
        <w:t>　　</w:t>
      </w:r>
      <w:r>
        <w:rPr>
          <w:rFonts w:ascii="ＭＳ Ｐゴシック" w:hAnsi="ＭＳ Ｐゴシック" w:cs="ＭＳ 明朝" w:eastAsia="ＭＳ Ｐゴシック" w:asciiTheme="majorEastAsia" w:eastAsiaTheme="majorEastAsia" w:hAnsiTheme="majorEastAsia"/>
          <w:kern w:val="0"/>
          <w:szCs w:val="21"/>
        </w:rPr>
        <w:t>③　対象となる業務に係る現行の予算規模</w:t>
      </w:r>
      <w:r>
        <w:rPr>
          <w:rFonts w:ascii="ＭＳ Ｐゴシック" w:hAnsi="ＭＳ Ｐゴシック" w:cs="ＭＳ 明朝" w:eastAsia="ＭＳ Ｐゴシック" w:asciiTheme="majorEastAsia" w:eastAsiaTheme="majorEastAsia" w:hAnsiTheme="majorEastAsia"/>
          <w:kern w:val="0"/>
          <w:sz w:val="20"/>
          <w:szCs w:val="21"/>
        </w:rPr>
        <w:t>（税込）</w:t>
      </w:r>
    </w:p>
    <w:tbl>
      <w:tblPr>
        <w:tblStyle w:val="a3"/>
        <w:tblW w:w="9223" w:type="dxa"/>
        <w:jc w:val="left"/>
        <w:tblInd w:w="695" w:type="dxa"/>
        <w:tblCellMar>
          <w:top w:w="0" w:type="dxa"/>
          <w:left w:w="108" w:type="dxa"/>
          <w:bottom w:w="0" w:type="dxa"/>
          <w:right w:w="108" w:type="dxa"/>
        </w:tblCellMar>
        <w:tblLook w:firstRow="1" w:noVBand="1" w:lastRow="0" w:firstColumn="1" w:lastColumn="0" w:noHBand="0" w:val="04a0"/>
      </w:tblPr>
      <w:tblGrid>
        <w:gridCol w:w="1426"/>
        <w:gridCol w:w="2598"/>
        <w:gridCol w:w="2599"/>
        <w:gridCol w:w="2599"/>
      </w:tblGrid>
      <w:tr>
        <w:trPr>
          <w:trHeight w:val="371" w:hRule="atLeast"/>
        </w:trPr>
        <w:tc>
          <w:tcPr>
            <w:tcW w:w="1426" w:type="dxa"/>
            <w:tcBorders/>
            <w:shd w:color="auto" w:fill="D9D9D9" w:themeFill="background1" w:themeFillShade="d9"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tc>
        <w:tc>
          <w:tcPr>
            <w:tcW w:w="2598" w:type="dxa"/>
            <w:tcBorders/>
            <w:shd w:color="auto" w:fill="D9D9D9" w:themeFill="background1" w:themeFillShade="d9"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平成３０年度</w:t>
            </w:r>
          </w:p>
        </w:tc>
        <w:tc>
          <w:tcPr>
            <w:tcW w:w="2599" w:type="dxa"/>
            <w:tcBorders/>
            <w:shd w:color="auto" w:fill="D9D9D9" w:themeFill="background1" w:themeFillShade="d9"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令和元年度</w:t>
            </w:r>
          </w:p>
        </w:tc>
        <w:tc>
          <w:tcPr>
            <w:tcW w:w="2599" w:type="dxa"/>
            <w:tcBorders/>
            <w:shd w:color="auto" w:fill="D9D9D9" w:themeFill="background1" w:themeFillShade="d9"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令和２年度</w:t>
            </w:r>
          </w:p>
        </w:tc>
      </w:tr>
      <w:tr>
        <w:trPr>
          <w:trHeight w:val="355" w:hRule="atLeast"/>
        </w:trPr>
        <w:tc>
          <w:tcPr>
            <w:tcW w:w="1426" w:type="dxa"/>
            <w:tcBorders/>
            <w:shd w:fill="auto"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施設管理費</w:t>
            </w:r>
          </w:p>
        </w:tc>
        <w:tc>
          <w:tcPr>
            <w:tcW w:w="2598"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約６５０百万円</w:t>
            </w:r>
          </w:p>
        </w:tc>
        <w:tc>
          <w:tcPr>
            <w:tcW w:w="2599"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約６３８百万円</w:t>
            </w:r>
          </w:p>
        </w:tc>
        <w:tc>
          <w:tcPr>
            <w:tcW w:w="2599"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約６３３百万円</w:t>
            </w:r>
          </w:p>
        </w:tc>
      </w:tr>
      <w:tr>
        <w:trPr>
          <w:trHeight w:val="371" w:hRule="atLeast"/>
        </w:trPr>
        <w:tc>
          <w:tcPr>
            <w:tcW w:w="1426" w:type="dxa"/>
            <w:tcBorders/>
            <w:shd w:fill="auto"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小破修繕費</w:t>
            </w:r>
          </w:p>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 w:val="10"/>
                <w:szCs w:val="21"/>
              </w:rPr>
              <w:t>（一部</w:t>
            </w:r>
            <w:r>
              <w:rPr>
                <w:rFonts w:eastAsia="ＭＳ 明朝" w:cs="ＭＳ 明朝" w:ascii="ＭＳ 明朝" w:hAnsi="ＭＳ 明朝"/>
                <w:kern w:val="0"/>
                <w:sz w:val="10"/>
                <w:szCs w:val="21"/>
              </w:rPr>
              <w:t>130</w:t>
            </w:r>
            <w:r>
              <w:rPr>
                <w:rFonts w:ascii="ＭＳ 明朝" w:hAnsi="ＭＳ 明朝" w:cs="ＭＳ 明朝" w:eastAsia="ＭＳ 明朝"/>
                <w:kern w:val="0"/>
                <w:sz w:val="10"/>
                <w:szCs w:val="21"/>
              </w:rPr>
              <w:t>万円以上あり）</w:t>
            </w:r>
          </w:p>
        </w:tc>
        <w:tc>
          <w:tcPr>
            <w:tcW w:w="2598" w:type="dxa"/>
            <w:tcBorders/>
            <w:shd w:fill="auto" w:val="clear"/>
            <w:vAlign w:val="center"/>
          </w:tcPr>
          <w:p>
            <w:pPr>
              <w:pStyle w:val="Normal"/>
              <w:ind w:right="-227" w:hanging="0"/>
              <w:rPr>
                <w:rFonts w:ascii="ＭＳ 明朝" w:hAnsi="ＭＳ 明朝" w:eastAsia="ＭＳ 明朝" w:cs="ＭＳ 明朝"/>
                <w:kern w:val="0"/>
                <w:szCs w:val="21"/>
              </w:rPr>
            </w:pPr>
            <w:r>
              <w:rPr>
                <w:rFonts w:ascii="ＭＳ 明朝" w:hAnsi="ＭＳ 明朝" w:cs="ＭＳ 明朝" w:eastAsia="ＭＳ 明朝"/>
                <w:kern w:val="0"/>
                <w:szCs w:val="21"/>
              </w:rPr>
              <w:t>約　９５百万円</w:t>
            </w:r>
            <w:r>
              <w:rPr>
                <w:rFonts w:ascii="ＭＳ 明朝" w:hAnsi="ＭＳ 明朝" w:cs="ＭＳ 明朝" w:eastAsia="ＭＳ 明朝"/>
                <w:kern w:val="0"/>
                <w:sz w:val="16"/>
                <w:szCs w:val="21"/>
              </w:rPr>
              <w:t>（実績額）</w:t>
            </w:r>
          </w:p>
        </w:tc>
        <w:tc>
          <w:tcPr>
            <w:tcW w:w="2599" w:type="dxa"/>
            <w:tcBorders/>
            <w:shd w:fill="auto" w:val="clear"/>
            <w:vAlign w:val="center"/>
          </w:tcPr>
          <w:p>
            <w:pPr>
              <w:pStyle w:val="Normal"/>
              <w:ind w:right="-143" w:hanging="0"/>
              <w:rPr>
                <w:rFonts w:ascii="ＭＳ 明朝" w:hAnsi="ＭＳ 明朝" w:eastAsia="ＭＳ 明朝" w:cs="ＭＳ 明朝"/>
                <w:kern w:val="0"/>
                <w:szCs w:val="21"/>
              </w:rPr>
            </w:pPr>
            <w:r>
              <w:rPr>
                <w:rFonts w:ascii="ＭＳ 明朝" w:hAnsi="ＭＳ 明朝" w:cs="ＭＳ 明朝" w:eastAsia="ＭＳ 明朝"/>
                <w:kern w:val="0"/>
                <w:szCs w:val="21"/>
              </w:rPr>
              <w:t>約１１９百万円</w:t>
            </w:r>
            <w:r>
              <w:rPr>
                <w:rFonts w:ascii="ＭＳ 明朝" w:hAnsi="ＭＳ 明朝" w:cs="ＭＳ 明朝" w:eastAsia="ＭＳ 明朝"/>
                <w:kern w:val="0"/>
                <w:sz w:val="16"/>
                <w:szCs w:val="21"/>
              </w:rPr>
              <w:t>（実績額）</w:t>
            </w:r>
          </w:p>
        </w:tc>
        <w:tc>
          <w:tcPr>
            <w:tcW w:w="2599" w:type="dxa"/>
            <w:tcBorders/>
            <w:shd w:fill="auto" w:val="clear"/>
            <w:vAlign w:val="center"/>
          </w:tcPr>
          <w:p>
            <w:pPr>
              <w:pStyle w:val="Normal"/>
              <w:ind w:right="-275" w:hanging="0"/>
              <w:rPr>
                <w:rFonts w:ascii="ＭＳ 明朝" w:hAnsi="ＭＳ 明朝" w:eastAsia="ＭＳ 明朝" w:cs="ＭＳ 明朝"/>
                <w:kern w:val="0"/>
                <w:szCs w:val="21"/>
              </w:rPr>
            </w:pPr>
            <w:r>
              <w:rPr>
                <w:rFonts w:ascii="ＭＳ 明朝" w:hAnsi="ＭＳ 明朝" w:cs="ＭＳ 明朝" w:eastAsia="ＭＳ 明朝"/>
                <w:kern w:val="0"/>
                <w:szCs w:val="21"/>
              </w:rPr>
              <w:t>約１４４百万円</w:t>
            </w:r>
            <w:r>
              <w:rPr>
                <w:rFonts w:ascii="ＭＳ 明朝" w:hAnsi="ＭＳ 明朝" w:cs="ＭＳ 明朝" w:eastAsia="ＭＳ 明朝"/>
                <w:kern w:val="0"/>
                <w:sz w:val="14"/>
                <w:szCs w:val="21"/>
              </w:rPr>
              <w:t>（当初予算額）</w:t>
            </w:r>
          </w:p>
        </w:tc>
      </w:tr>
      <w:tr>
        <w:trPr>
          <w:trHeight w:val="355" w:hRule="atLeast"/>
        </w:trPr>
        <w:tc>
          <w:tcPr>
            <w:tcW w:w="1426" w:type="dxa"/>
            <w:tcBorders/>
            <w:shd w:fill="auto"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合計</w:t>
            </w:r>
          </w:p>
        </w:tc>
        <w:tc>
          <w:tcPr>
            <w:tcW w:w="2598"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約７４５百万円</w:t>
            </w:r>
          </w:p>
        </w:tc>
        <w:tc>
          <w:tcPr>
            <w:tcW w:w="2599"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約７５９百万円</w:t>
            </w:r>
          </w:p>
        </w:tc>
        <w:tc>
          <w:tcPr>
            <w:tcW w:w="2599"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約７７７百万</w:t>
            </w:r>
          </w:p>
        </w:tc>
      </w:tr>
    </w:tbl>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p>
      <w:pPr>
        <w:pStyle w:val="Normal"/>
        <w:jc w:val="left"/>
        <w:rPr>
          <w:rFonts w:ascii="ＭＳ Ｐゴシック" w:hAnsi="ＭＳ Ｐゴシック" w:eastAsia="ＭＳ Ｐゴシック" w:cs="ＭＳ 明朝" w:asciiTheme="majorEastAsia" w:eastAsiaTheme="majorEastAsia" w:hAnsiTheme="majorEastAsia"/>
          <w:kern w:val="0"/>
          <w:szCs w:val="21"/>
        </w:rPr>
      </w:pPr>
      <w:r>
        <w:rPr>
          <w:rFonts w:ascii="ＭＳ 明朝" w:hAnsi="ＭＳ 明朝" w:cs="ＭＳ 明朝" w:eastAsia="ＭＳ 明朝"/>
          <w:kern w:val="0"/>
          <w:szCs w:val="21"/>
        </w:rPr>
        <w:t>　</w:t>
      </w:r>
      <w:r>
        <w:rPr>
          <w:rFonts w:ascii="ＭＳ Ｐゴシック" w:hAnsi="ＭＳ Ｐゴシック" w:cs="ＭＳ 明朝" w:eastAsia="ＭＳ Ｐゴシック" w:asciiTheme="majorEastAsia" w:eastAsiaTheme="majorEastAsia" w:hAnsiTheme="majorEastAsia"/>
          <w:kern w:val="0"/>
          <w:szCs w:val="21"/>
        </w:rPr>
        <w:t>　④　事業化スケジュール（案）</w:t>
      </w:r>
    </w:p>
    <w:tbl>
      <w:tblPr>
        <w:tblStyle w:val="a3"/>
        <w:tblW w:w="8383" w:type="dxa"/>
        <w:jc w:val="left"/>
        <w:tblInd w:w="968" w:type="dxa"/>
        <w:tblCellMar>
          <w:top w:w="0" w:type="dxa"/>
          <w:left w:w="108" w:type="dxa"/>
          <w:bottom w:w="0" w:type="dxa"/>
          <w:right w:w="108" w:type="dxa"/>
        </w:tblCellMar>
        <w:tblLook w:firstRow="1" w:noVBand="1" w:lastRow="0" w:firstColumn="1" w:lastColumn="0" w:noHBand="0" w:val="04a0"/>
      </w:tblPr>
      <w:tblGrid>
        <w:gridCol w:w="1417"/>
        <w:gridCol w:w="1984"/>
        <w:gridCol w:w="4982"/>
      </w:tblGrid>
      <w:tr>
        <w:trPr/>
        <w:tc>
          <w:tcPr>
            <w:tcW w:w="3401" w:type="dxa"/>
            <w:gridSpan w:val="2"/>
            <w:tcBorders/>
            <w:shd w:color="auto" w:fill="D9D9D9" w:themeFill="background1" w:themeFillShade="d9" w:val="clear"/>
            <w:vAlign w:val="cente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時　期</w:t>
            </w:r>
          </w:p>
        </w:tc>
        <w:tc>
          <w:tcPr>
            <w:tcW w:w="4982" w:type="dxa"/>
            <w:tcBorders/>
            <w:shd w:color="auto" w:fill="D9D9D9" w:themeFill="background1" w:themeFillShade="d9" w:val="clear"/>
            <w:vAlign w:val="cente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内　容</w:t>
            </w:r>
          </w:p>
        </w:tc>
      </w:tr>
      <w:tr>
        <w:trPr/>
        <w:tc>
          <w:tcPr>
            <w:tcW w:w="1417" w:type="dxa"/>
            <w:vMerge w:val="restart"/>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令和２年度</w:t>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１０月～１１月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本サウンディング型市場調査実施</w:t>
            </w:r>
          </w:p>
        </w:tc>
      </w:tr>
      <w:tr>
        <w:trPr/>
        <w:tc>
          <w:tcPr>
            <w:tcW w:w="1417" w:type="dxa"/>
            <w:vMerge w:val="continue"/>
            <w:tcBorders/>
            <w:shd w:fill="auto" w:val="clear"/>
          </w:tcPr>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１月～　２月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第２回サウンディング型市場調査の実施</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（※要求水準書</w:t>
            </w:r>
            <w:r>
              <w:rPr>
                <w:rFonts w:eastAsia="ＭＳ 明朝" w:cs="ＭＳ 明朝" w:ascii="ＭＳ 明朝" w:hAnsi="ＭＳ 明朝"/>
                <w:kern w:val="0"/>
                <w:szCs w:val="21"/>
              </w:rPr>
              <w:t>(</w:t>
            </w:r>
            <w:r>
              <w:rPr>
                <w:rFonts w:ascii="ＭＳ 明朝" w:hAnsi="ＭＳ 明朝" w:cs="ＭＳ 明朝" w:eastAsia="ＭＳ 明朝"/>
                <w:kern w:val="0"/>
                <w:szCs w:val="21"/>
              </w:rPr>
              <w:t>案</w:t>
            </w:r>
            <w:r>
              <w:rPr>
                <w:rFonts w:eastAsia="ＭＳ 明朝" w:cs="ＭＳ 明朝" w:ascii="ＭＳ 明朝" w:hAnsi="ＭＳ 明朝"/>
                <w:kern w:val="0"/>
                <w:szCs w:val="21"/>
              </w:rPr>
              <w:t>)</w:t>
            </w:r>
            <w:r>
              <w:rPr>
                <w:rFonts w:ascii="ＭＳ 明朝" w:hAnsi="ＭＳ 明朝" w:cs="ＭＳ 明朝" w:eastAsia="ＭＳ 明朝"/>
                <w:kern w:val="0"/>
                <w:szCs w:val="21"/>
              </w:rPr>
              <w:t>等の公募関連資料について）</w:t>
            </w:r>
          </w:p>
        </w:tc>
      </w:tr>
      <w:tr>
        <w:trPr/>
        <w:tc>
          <w:tcPr>
            <w:tcW w:w="1417" w:type="dxa"/>
            <w:vMerge w:val="continue"/>
            <w:tcBorders/>
            <w:shd w:fill="auto" w:val="clear"/>
          </w:tcPr>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　　　～　３月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公募型プロポーザル実施検討</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債務負担行為額の議決</w:t>
            </w:r>
          </w:p>
        </w:tc>
      </w:tr>
      <w:tr>
        <w:trPr/>
        <w:tc>
          <w:tcPr>
            <w:tcW w:w="1417" w:type="dxa"/>
            <w:vMerge w:val="restart"/>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令和３年度</w:t>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４月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公募型プロポーザル公告</w:t>
            </w:r>
          </w:p>
        </w:tc>
      </w:tr>
      <w:tr>
        <w:trPr/>
        <w:tc>
          <w:tcPr>
            <w:tcW w:w="1417" w:type="dxa"/>
            <w:vMerge w:val="continue"/>
            <w:tcBorders/>
            <w:shd w:fill="auto" w:val="clear"/>
          </w:tcPr>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７月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応募事業者の審査・優先交渉権者の選定</w:t>
            </w:r>
          </w:p>
        </w:tc>
      </w:tr>
      <w:tr>
        <w:trPr/>
        <w:tc>
          <w:tcPr>
            <w:tcW w:w="1417" w:type="dxa"/>
            <w:vMerge w:val="continue"/>
            <w:tcBorders/>
            <w:shd w:fill="auto" w:val="clear"/>
          </w:tcPr>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８月～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優先交渉権者との詳細検討</w:t>
            </w:r>
          </w:p>
        </w:tc>
      </w:tr>
      <w:tr>
        <w:trPr/>
        <w:tc>
          <w:tcPr>
            <w:tcW w:w="1417" w:type="dxa"/>
            <w:vMerge w:val="continue"/>
            <w:tcBorders/>
            <w:shd w:fill="auto" w:val="clear"/>
          </w:tcPr>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３月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業務委託契約を締結</w:t>
            </w:r>
          </w:p>
        </w:tc>
      </w:tr>
      <w:tr>
        <w:trPr/>
        <w:tc>
          <w:tcPr>
            <w:tcW w:w="1417"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令和４年度</w:t>
            </w:r>
          </w:p>
        </w:tc>
        <w:tc>
          <w:tcPr>
            <w:tcW w:w="1984"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４月</w:t>
            </w:r>
          </w:p>
        </w:tc>
        <w:tc>
          <w:tcPr>
            <w:tcW w:w="4982"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包括施設管理の開始</w:t>
            </w:r>
          </w:p>
        </w:tc>
      </w:tr>
    </w:tbl>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Ｐゴシック" w:hAnsi="ＭＳ Ｐゴシック" w:eastAsia="ＭＳ Ｐゴシック" w:cs="ＭＳ 明朝" w:asciiTheme="majorEastAsia" w:eastAsiaTheme="majorEastAsia" w:hAnsiTheme="majorEastAsia"/>
          <w:kern w:val="0"/>
          <w:szCs w:val="21"/>
          <w:u w:val="single"/>
        </w:rPr>
      </w:pPr>
      <w:r>
        <w:rPr>
          <w:rFonts w:ascii="ＭＳ Ｐゴシック" w:hAnsi="ＭＳ Ｐゴシック" w:cs="ＭＳ 明朝" w:eastAsia="ＭＳ Ｐゴシック" w:asciiTheme="majorEastAsia" w:eastAsiaTheme="majorEastAsia" w:hAnsiTheme="majorEastAsia"/>
          <w:kern w:val="0"/>
          <w:szCs w:val="21"/>
          <w:u w:val="single"/>
        </w:rPr>
        <w:t>３．調査の手順及び内容</w:t>
      </w:r>
    </w:p>
    <w:p>
      <w:pPr>
        <w:pStyle w:val="Normal"/>
        <w:jc w:val="left"/>
        <w:rPr>
          <w:rFonts w:ascii="ＭＳ 明朝" w:hAnsi="ＭＳ 明朝" w:eastAsia="ＭＳ 明朝" w:cs="ＭＳ 明朝"/>
          <w:kern w:val="0"/>
          <w:szCs w:val="21"/>
        </w:rPr>
      </w:pPr>
      <w:r>
        <mc:AlternateContent>
          <mc:Choice Requires="wps">
            <w:drawing>
              <wp:anchor behindDoc="0" distT="0" distB="0" distL="114300" distR="113665" simplePos="0" locked="0" layoutInCell="1" allowOverlap="1" relativeHeight="2" wp14:anchorId="4075F2FF">
                <wp:simplePos x="0" y="0"/>
                <wp:positionH relativeFrom="column">
                  <wp:posOffset>143510</wp:posOffset>
                </wp:positionH>
                <wp:positionV relativeFrom="paragraph">
                  <wp:posOffset>57150</wp:posOffset>
                </wp:positionV>
                <wp:extent cx="1044575" cy="1238885"/>
                <wp:effectExtent l="0" t="0" r="41910" b="19050"/>
                <wp:wrapNone/>
                <wp:docPr id="1" name="ホームベース 3"/>
                <a:graphic xmlns:a="http://schemas.openxmlformats.org/drawingml/2006/main">
                  <a:graphicData uri="http://schemas.microsoft.com/office/word/2010/wordprocessingShape">
                    <wps:wsp>
                      <wps:cNvSpPr/>
                      <wps:spPr>
                        <a:xfrm>
                          <a:off x="0" y="0"/>
                          <a:ext cx="1044000" cy="1238400"/>
                        </a:xfrm>
                        <a:prstGeom prst="homePlate">
                          <a:avLst>
                            <a:gd name="adj" fmla="val 25510"/>
                          </a:avLst>
                        </a:prstGeom>
                        <a:ln/>
                      </wps:spPr>
                      <wps:style>
                        <a:lnRef idx="2">
                          <a:schemeClr val="dk1"/>
                        </a:lnRef>
                        <a:fillRef idx="1">
                          <a:schemeClr val="lt1"/>
                        </a:fillRef>
                        <a:effectRef idx="0">
                          <a:schemeClr val="dk1"/>
                        </a:effectRef>
                        <a:fontRef idx="minor"/>
                      </wps:style>
                      <wps:txbx>
                        <w:txbxContent>
                          <w:p>
                            <w:pPr>
                              <w:pStyle w:val="Style27"/>
                              <w:ind w:right="-283" w:hanging="283"/>
                              <w:jc w:val="center"/>
                              <w:rPr>
                                <w:color w:val="000000"/>
                              </w:rPr>
                            </w:pPr>
                            <w:r>
                              <w:rPr>
                                <w:color w:val="000000"/>
                              </w:rPr>
                              <w:t>（１）参加申込み</w:t>
                            </w:r>
                          </w:p>
                        </w:txbxContent>
                      </wps:txbx>
                      <wps:bodyPr anchor="ctr">
                        <a:prstTxWarp prst="textNoShape"/>
                        <a:noAutofit/>
                      </wps:bodyPr>
                    </wps:wsp>
                  </a:graphicData>
                </a:graphic>
              </wp:anchor>
            </w:drawing>
          </mc:Choice>
          <mc:Fallback>
            <w:pi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ID="ホームベース 3" fillcolor="white" stroked="t" style="position:absolute;margin-left:11.3pt;margin-top:4.5pt;width:82.15pt;height:97.45pt" wp14:anchorId="4075F2FF" type="shapetype_15">
                <w10:wrap type="square"/>
                <v:fill o:detectmouseclick="t" type="solid" color2="black"/>
                <v:stroke color="black" weight="12600" joinstyle="miter" endcap="flat"/>
                <v:textbox>
                  <w:txbxContent>
                    <w:p>
                      <w:pPr>
                        <w:pStyle w:val="Style27"/>
                        <w:ind w:right="-283" w:hanging="283"/>
                        <w:jc w:val="center"/>
                        <w:rPr>
                          <w:color w:val="000000"/>
                        </w:rPr>
                      </w:pPr>
                      <w:r>
                        <w:rPr>
                          <w:color w:val="000000"/>
                        </w:rPr>
                        <w:t>（１）参加申込み</w:t>
                      </w:r>
                    </w:p>
                  </w:txbxContent>
                </v:textbox>
              </v:shape>
            </w:pict>
          </mc:Fallback>
        </mc:AlternateContent>
        <mc:AlternateContent>
          <mc:Choice Requires="wps">
            <w:drawing>
              <wp:anchor behindDoc="0" distT="0" distB="0" distL="114300" distR="113665" simplePos="0" locked="0" layoutInCell="1" allowOverlap="1" relativeHeight="3" wp14:anchorId="500323F9">
                <wp:simplePos x="0" y="0"/>
                <wp:positionH relativeFrom="column">
                  <wp:posOffset>1185545</wp:posOffset>
                </wp:positionH>
                <wp:positionV relativeFrom="paragraph">
                  <wp:posOffset>57150</wp:posOffset>
                </wp:positionV>
                <wp:extent cx="1044575" cy="1238885"/>
                <wp:effectExtent l="0" t="0" r="41910" b="19050"/>
                <wp:wrapNone/>
                <wp:docPr id="3" name="ホームベース 5"/>
                <a:graphic xmlns:a="http://schemas.openxmlformats.org/drawingml/2006/main">
                  <a:graphicData uri="http://schemas.microsoft.com/office/word/2010/wordprocessingShape">
                    <wps:wsp>
                      <wps:cNvSpPr/>
                      <wps:spPr>
                        <a:xfrm>
                          <a:off x="0" y="0"/>
                          <a:ext cx="1044000" cy="1238400"/>
                        </a:xfrm>
                        <a:prstGeom prst="homePlate">
                          <a:avLst>
                            <a:gd name="adj" fmla="val 25510"/>
                          </a:avLst>
                        </a:prstGeom>
                        <a:solidFill>
                          <a:srgbClr val="ffffff"/>
                        </a:solidFill>
                        <a:ln w="12600">
                          <a:solidFill>
                            <a:srgbClr val="000000"/>
                          </a:solidFill>
                          <a:miter/>
                        </a:ln>
                      </wps:spPr>
                      <wps:style>
                        <a:lnRef idx="0"/>
                        <a:fillRef idx="0"/>
                        <a:effectRef idx="0"/>
                        <a:fontRef idx="minor"/>
                      </wps:style>
                      <wps:txbx>
                        <w:txbxContent>
                          <w:p>
                            <w:pPr>
                              <w:pStyle w:val="Style27"/>
                              <w:ind w:left="-142" w:right="-143" w:hanging="1"/>
                              <w:jc w:val="center"/>
                              <w:rPr>
                                <w:color w:val="auto"/>
                              </w:rPr>
                            </w:pPr>
                            <w:r>
                              <w:rPr>
                                <w:color w:val="auto"/>
                              </w:rPr>
                              <w:t>（２）実施日連絡</w:t>
                            </w:r>
                          </w:p>
                          <w:p>
                            <w:pPr>
                              <w:pStyle w:val="Style27"/>
                              <w:ind w:left="-142" w:right="-143" w:hanging="1"/>
                              <w:jc w:val="center"/>
                              <w:rPr>
                                <w:color w:val="auto"/>
                              </w:rPr>
                            </w:pPr>
                            <w:r>
                              <w:rPr>
                                <w:color w:val="auto"/>
                              </w:rPr>
                              <w:t>追加資料送付</w:t>
                            </w:r>
                          </w:p>
                        </w:txbxContent>
                      </wps:txbx>
                      <wps:bodyPr anchor="ctr">
                        <a:prstTxWarp prst="textNoShape"/>
                        <a:noAutofit/>
                      </wps:bodyPr>
                    </wps:wsp>
                  </a:graphicData>
                </a:graphic>
              </wp:anchor>
            </w:drawing>
          </mc:Choice>
          <mc:Fallback>
            <w:pict>
              <v:shape id="shape_0" ID="ホームベース 5" fillcolor="white" stroked="t" style="position:absolute;margin-left:93.35pt;margin-top:4.5pt;width:82.15pt;height:97.45pt" wp14:anchorId="500323F9" type="shapetype_15">
                <w10:wrap type="square"/>
                <v:fill o:detectmouseclick="t" type="solid" color2="black"/>
                <v:stroke color="black" weight="12600" joinstyle="miter" endcap="flat"/>
                <v:textbox>
                  <w:txbxContent>
                    <w:p>
                      <w:pPr>
                        <w:pStyle w:val="Style27"/>
                        <w:ind w:left="-142" w:right="-143" w:hanging="1"/>
                        <w:jc w:val="center"/>
                        <w:rPr>
                          <w:color w:val="auto"/>
                        </w:rPr>
                      </w:pPr>
                      <w:r>
                        <w:rPr>
                          <w:color w:val="auto"/>
                        </w:rPr>
                        <w:t>（２）実施日連絡</w:t>
                      </w:r>
                    </w:p>
                    <w:p>
                      <w:pPr>
                        <w:pStyle w:val="Style27"/>
                        <w:ind w:left="-142" w:right="-143" w:hanging="1"/>
                        <w:jc w:val="center"/>
                        <w:rPr>
                          <w:color w:val="auto"/>
                        </w:rPr>
                      </w:pPr>
                      <w:r>
                        <w:rPr>
                          <w:color w:val="auto"/>
                        </w:rPr>
                        <w:t>追加資料送付</w:t>
                      </w:r>
                    </w:p>
                  </w:txbxContent>
                </v:textbox>
              </v:shape>
            </w:pict>
          </mc:Fallback>
        </mc:AlternateContent>
        <mc:AlternateContent>
          <mc:Choice Requires="wps">
            <w:drawing>
              <wp:anchor behindDoc="0" distT="0" distB="0" distL="114300" distR="114300" simplePos="0" locked="0" layoutInCell="1" allowOverlap="1" relativeHeight="4" wp14:anchorId="30BDDC8E">
                <wp:simplePos x="0" y="0"/>
                <wp:positionH relativeFrom="column">
                  <wp:posOffset>2219325</wp:posOffset>
                </wp:positionH>
                <wp:positionV relativeFrom="paragraph">
                  <wp:posOffset>52705</wp:posOffset>
                </wp:positionV>
                <wp:extent cx="1038860" cy="1238885"/>
                <wp:effectExtent l="0" t="0" r="47625" b="19050"/>
                <wp:wrapNone/>
                <wp:docPr id="5" name="ホームベース 6"/>
                <a:graphic xmlns:a="http://schemas.openxmlformats.org/drawingml/2006/main">
                  <a:graphicData uri="http://schemas.microsoft.com/office/word/2010/wordprocessingShape">
                    <wps:wsp>
                      <wps:cNvSpPr/>
                      <wps:spPr>
                        <a:xfrm>
                          <a:off x="0" y="0"/>
                          <a:ext cx="1038240" cy="1238400"/>
                        </a:xfrm>
                        <a:prstGeom prst="homePlate">
                          <a:avLst>
                            <a:gd name="adj" fmla="val 25510"/>
                          </a:avLst>
                        </a:prstGeom>
                        <a:solidFill>
                          <a:srgbClr val="ffffff"/>
                        </a:solidFill>
                        <a:ln w="12600">
                          <a:solidFill>
                            <a:srgbClr val="000000"/>
                          </a:solidFill>
                          <a:miter/>
                        </a:ln>
                      </wps:spPr>
                      <wps:style>
                        <a:lnRef idx="0"/>
                        <a:fillRef idx="0"/>
                        <a:effectRef idx="0"/>
                        <a:fontRef idx="minor"/>
                      </wps:style>
                      <wps:txbx>
                        <w:txbxContent>
                          <w:p>
                            <w:pPr>
                              <w:pStyle w:val="Style27"/>
                              <w:ind w:right="-149" w:hanging="141"/>
                              <w:jc w:val="center"/>
                              <w:rPr>
                                <w:color w:val="auto"/>
                              </w:rPr>
                            </w:pPr>
                            <w:r>
                              <w:rPr>
                                <w:color w:val="auto"/>
                              </w:rPr>
                              <w:t>（３）現地確認（希望制）</w:t>
                            </w:r>
                          </w:p>
                        </w:txbxContent>
                      </wps:txbx>
                      <wps:bodyPr anchor="ctr">
                        <a:prstTxWarp prst="textNoShape"/>
                        <a:noAutofit/>
                      </wps:bodyPr>
                    </wps:wsp>
                  </a:graphicData>
                </a:graphic>
              </wp:anchor>
            </w:drawing>
          </mc:Choice>
          <mc:Fallback>
            <w:pict>
              <v:shape id="shape_0" ID="ホームベース 6" fillcolor="white" stroked="t" style="position:absolute;margin-left:174.75pt;margin-top:4.15pt;width:81.7pt;height:97.45pt" wp14:anchorId="30BDDC8E" type="shapetype_15">
                <w10:wrap type="square"/>
                <v:fill o:detectmouseclick="t" type="solid" color2="black"/>
                <v:stroke color="black" weight="12600" joinstyle="miter" endcap="flat"/>
                <v:textbox>
                  <w:txbxContent>
                    <w:p>
                      <w:pPr>
                        <w:pStyle w:val="Style27"/>
                        <w:ind w:right="-149" w:hanging="141"/>
                        <w:jc w:val="center"/>
                        <w:rPr>
                          <w:color w:val="auto"/>
                        </w:rPr>
                      </w:pPr>
                      <w:r>
                        <w:rPr>
                          <w:color w:val="auto"/>
                        </w:rPr>
                        <w:t>（３）現地確認（希望制）</w:t>
                      </w:r>
                    </w:p>
                  </w:txbxContent>
                </v:textbox>
              </v:shape>
            </w:pict>
          </mc:Fallback>
        </mc:AlternateContent>
        <mc:AlternateContent>
          <mc:Choice Requires="wps">
            <w:drawing>
              <wp:anchor behindDoc="0" distT="0" distB="0" distL="114300" distR="113665" simplePos="0" locked="0" layoutInCell="1" allowOverlap="1" relativeHeight="5" wp14:anchorId="1B90A427">
                <wp:simplePos x="0" y="0"/>
                <wp:positionH relativeFrom="column">
                  <wp:posOffset>3261995</wp:posOffset>
                </wp:positionH>
                <wp:positionV relativeFrom="paragraph">
                  <wp:posOffset>57150</wp:posOffset>
                </wp:positionV>
                <wp:extent cx="1044575" cy="1238885"/>
                <wp:effectExtent l="0" t="0" r="41910" b="19050"/>
                <wp:wrapNone/>
                <wp:docPr id="7" name="ホームベース 7"/>
                <a:graphic xmlns:a="http://schemas.openxmlformats.org/drawingml/2006/main">
                  <a:graphicData uri="http://schemas.microsoft.com/office/word/2010/wordprocessingShape">
                    <wps:wsp>
                      <wps:cNvSpPr/>
                      <wps:spPr>
                        <a:xfrm>
                          <a:off x="0" y="0"/>
                          <a:ext cx="1044000" cy="1238400"/>
                        </a:xfrm>
                        <a:prstGeom prst="homePlate">
                          <a:avLst>
                            <a:gd name="adj" fmla="val 25510"/>
                          </a:avLst>
                        </a:prstGeom>
                        <a:solidFill>
                          <a:srgbClr val="ffffff"/>
                        </a:solidFill>
                        <a:ln w="12600">
                          <a:solidFill>
                            <a:srgbClr val="000000"/>
                          </a:solidFill>
                          <a:miter/>
                        </a:ln>
                      </wps:spPr>
                      <wps:style>
                        <a:lnRef idx="0"/>
                        <a:fillRef idx="0"/>
                        <a:effectRef idx="0"/>
                        <a:fontRef idx="minor"/>
                      </wps:style>
                      <wps:txbx>
                        <w:txbxContent>
                          <w:p>
                            <w:pPr>
                              <w:pStyle w:val="Style27"/>
                              <w:ind w:right="-8" w:hanging="141"/>
                              <w:jc w:val="center"/>
                              <w:rPr>
                                <w:color w:val="auto"/>
                              </w:rPr>
                            </w:pPr>
                            <w:r>
                              <w:rPr>
                                <w:color w:val="auto"/>
                              </w:rPr>
                              <w:t>（４）第１回</w:t>
                            </w:r>
                          </w:p>
                          <w:p>
                            <w:pPr>
                              <w:pStyle w:val="Style27"/>
                              <w:ind w:right="-8" w:hanging="141"/>
                              <w:jc w:val="center"/>
                              <w:rPr>
                                <w:color w:val="auto"/>
                              </w:rPr>
                            </w:pPr>
                            <w:r>
                              <w:rPr>
                                <w:color w:val="auto"/>
                              </w:rPr>
                              <w:t>ヒアリング</w:t>
                            </w:r>
                          </w:p>
                        </w:txbxContent>
                      </wps:txbx>
                      <wps:bodyPr anchor="ctr">
                        <a:prstTxWarp prst="textNoShape"/>
                        <a:noAutofit/>
                      </wps:bodyPr>
                    </wps:wsp>
                  </a:graphicData>
                </a:graphic>
              </wp:anchor>
            </w:drawing>
          </mc:Choice>
          <mc:Fallback>
            <w:pict>
              <v:shape id="shape_0" ID="ホームベース 7" fillcolor="white" stroked="t" style="position:absolute;margin-left:256.85pt;margin-top:4.5pt;width:82.15pt;height:97.45pt" wp14:anchorId="1B90A427" type="shapetype_15">
                <w10:wrap type="square"/>
                <v:fill o:detectmouseclick="t" type="solid" color2="black"/>
                <v:stroke color="black" weight="12600" joinstyle="miter" endcap="flat"/>
                <v:textbox>
                  <w:txbxContent>
                    <w:p>
                      <w:pPr>
                        <w:pStyle w:val="Style27"/>
                        <w:ind w:right="-8" w:hanging="141"/>
                        <w:jc w:val="center"/>
                        <w:rPr>
                          <w:color w:val="auto"/>
                        </w:rPr>
                      </w:pPr>
                      <w:r>
                        <w:rPr>
                          <w:color w:val="auto"/>
                        </w:rPr>
                        <w:t>（４）第１回</w:t>
                      </w:r>
                    </w:p>
                    <w:p>
                      <w:pPr>
                        <w:pStyle w:val="Style27"/>
                        <w:ind w:right="-8" w:hanging="141"/>
                        <w:jc w:val="center"/>
                        <w:rPr>
                          <w:color w:val="auto"/>
                        </w:rPr>
                      </w:pPr>
                      <w:r>
                        <w:rPr>
                          <w:color w:val="auto"/>
                        </w:rPr>
                        <w:t>ヒアリング</w:t>
                      </w:r>
                    </w:p>
                  </w:txbxContent>
                </v:textbox>
              </v:shape>
            </w:pict>
          </mc:Fallback>
        </mc:AlternateContent>
        <mc:AlternateContent>
          <mc:Choice Requires="wps">
            <w:drawing>
              <wp:anchor behindDoc="0" distT="0" distB="0" distL="114300" distR="113665" simplePos="0" locked="0" layoutInCell="1" allowOverlap="1" relativeHeight="6" wp14:anchorId="7C5F40A5">
                <wp:simplePos x="0" y="0"/>
                <wp:positionH relativeFrom="column">
                  <wp:posOffset>4298950</wp:posOffset>
                </wp:positionH>
                <wp:positionV relativeFrom="paragraph">
                  <wp:posOffset>47625</wp:posOffset>
                </wp:positionV>
                <wp:extent cx="1044575" cy="1238885"/>
                <wp:effectExtent l="0" t="0" r="41910" b="19050"/>
                <wp:wrapNone/>
                <wp:docPr id="9" name="ホームベース 8"/>
                <a:graphic xmlns:a="http://schemas.openxmlformats.org/drawingml/2006/main">
                  <a:graphicData uri="http://schemas.microsoft.com/office/word/2010/wordprocessingShape">
                    <wps:wsp>
                      <wps:cNvSpPr/>
                      <wps:spPr>
                        <a:xfrm>
                          <a:off x="0" y="0"/>
                          <a:ext cx="1044000" cy="1238400"/>
                        </a:xfrm>
                        <a:prstGeom prst="homePlate">
                          <a:avLst>
                            <a:gd name="adj" fmla="val 25510"/>
                          </a:avLst>
                        </a:prstGeom>
                        <a:solidFill>
                          <a:srgbClr val="ffffff"/>
                        </a:solidFill>
                        <a:ln w="12600">
                          <a:solidFill>
                            <a:srgbClr val="000000"/>
                          </a:solidFill>
                          <a:miter/>
                        </a:ln>
                      </wps:spPr>
                      <wps:style>
                        <a:lnRef idx="0"/>
                        <a:fillRef idx="0"/>
                        <a:effectRef idx="0"/>
                        <a:fontRef idx="minor"/>
                      </wps:style>
                      <wps:txbx>
                        <w:txbxContent>
                          <w:p>
                            <w:pPr>
                              <w:pStyle w:val="Style27"/>
                              <w:ind w:right="-149" w:hanging="141"/>
                              <w:jc w:val="center"/>
                              <w:rPr>
                                <w:color w:val="auto"/>
                              </w:rPr>
                            </w:pPr>
                            <w:r>
                              <w:rPr>
                                <w:color w:val="auto"/>
                              </w:rPr>
                              <w:t>（５）第２回</w:t>
                            </w:r>
                          </w:p>
                          <w:p>
                            <w:pPr>
                              <w:pStyle w:val="Style27"/>
                              <w:jc w:val="center"/>
                              <w:rPr>
                                <w:color w:val="auto"/>
                              </w:rPr>
                            </w:pPr>
                            <w:r>
                              <w:rPr>
                                <w:color w:val="auto"/>
                              </w:rPr>
                              <w:t>ヒアリング</w:t>
                            </w:r>
                          </w:p>
                        </w:txbxContent>
                      </wps:txbx>
                      <wps:bodyPr anchor="ctr">
                        <a:prstTxWarp prst="textNoShape"/>
                        <a:noAutofit/>
                      </wps:bodyPr>
                    </wps:wsp>
                  </a:graphicData>
                </a:graphic>
              </wp:anchor>
            </w:drawing>
          </mc:Choice>
          <mc:Fallback>
            <w:pict>
              <v:shape id="shape_0" ID="ホームベース 8" fillcolor="white" stroked="t" style="position:absolute;margin-left:338.5pt;margin-top:3.75pt;width:82.15pt;height:97.45pt" wp14:anchorId="7C5F40A5" type="shapetype_15">
                <w10:wrap type="square"/>
                <v:fill o:detectmouseclick="t" type="solid" color2="black"/>
                <v:stroke color="black" weight="12600" joinstyle="miter" endcap="flat"/>
                <v:textbox>
                  <w:txbxContent>
                    <w:p>
                      <w:pPr>
                        <w:pStyle w:val="Style27"/>
                        <w:ind w:right="-149" w:hanging="141"/>
                        <w:jc w:val="center"/>
                        <w:rPr>
                          <w:color w:val="auto"/>
                        </w:rPr>
                      </w:pPr>
                      <w:r>
                        <w:rPr>
                          <w:color w:val="auto"/>
                        </w:rPr>
                        <w:t>（５）第２回</w:t>
                      </w:r>
                    </w:p>
                    <w:p>
                      <w:pPr>
                        <w:pStyle w:val="Style27"/>
                        <w:jc w:val="center"/>
                        <w:rPr>
                          <w:color w:val="auto"/>
                        </w:rPr>
                      </w:pPr>
                      <w:r>
                        <w:rPr>
                          <w:color w:val="auto"/>
                        </w:rPr>
                        <w:t>ヒアリング</w:t>
                      </w:r>
                    </w:p>
                  </w:txbxContent>
                </v:textbox>
              </v:shape>
            </w:pict>
          </mc:Fallback>
        </mc:AlternateContent>
        <mc:AlternateContent>
          <mc:Choice Requires="wps">
            <w:drawing>
              <wp:anchor behindDoc="0" distT="0" distB="0" distL="114300" distR="113665" simplePos="0" locked="0" layoutInCell="1" allowOverlap="1" relativeHeight="8" wp14:anchorId="47E9161F">
                <wp:simplePos x="0" y="0"/>
                <wp:positionH relativeFrom="column">
                  <wp:posOffset>5339080</wp:posOffset>
                </wp:positionH>
                <wp:positionV relativeFrom="paragraph">
                  <wp:posOffset>38100</wp:posOffset>
                </wp:positionV>
                <wp:extent cx="1044575" cy="1238885"/>
                <wp:effectExtent l="0" t="0" r="41910" b="19050"/>
                <wp:wrapNone/>
                <wp:docPr id="11" name="ホームベース 9"/>
                <a:graphic xmlns:a="http://schemas.openxmlformats.org/drawingml/2006/main">
                  <a:graphicData uri="http://schemas.microsoft.com/office/word/2010/wordprocessingShape">
                    <wps:wsp>
                      <wps:cNvSpPr/>
                      <wps:spPr>
                        <a:xfrm>
                          <a:off x="0" y="0"/>
                          <a:ext cx="1044000" cy="1238400"/>
                        </a:xfrm>
                        <a:prstGeom prst="homePlate">
                          <a:avLst>
                            <a:gd name="adj" fmla="val 25510"/>
                          </a:avLst>
                        </a:prstGeom>
                        <a:solidFill>
                          <a:srgbClr val="ffffff"/>
                        </a:solidFill>
                        <a:ln w="12600">
                          <a:solidFill>
                            <a:srgbClr val="000000"/>
                          </a:solidFill>
                          <a:miter/>
                        </a:ln>
                      </wps:spPr>
                      <wps:style>
                        <a:lnRef idx="0"/>
                        <a:fillRef idx="0"/>
                        <a:effectRef idx="0"/>
                        <a:fontRef idx="minor"/>
                      </wps:style>
                      <wps:txbx>
                        <w:txbxContent>
                          <w:p>
                            <w:pPr>
                              <w:pStyle w:val="Style27"/>
                              <w:jc w:val="center"/>
                              <w:rPr>
                                <w:color w:val="auto"/>
                              </w:rPr>
                            </w:pPr>
                            <w:r>
                              <w:rPr>
                                <w:color w:val="auto"/>
                              </w:rPr>
                              <w:t>（６）調査</w:t>
                            </w:r>
                          </w:p>
                          <w:p>
                            <w:pPr>
                              <w:pStyle w:val="Style27"/>
                              <w:jc w:val="center"/>
                              <w:rPr>
                                <w:color w:val="auto"/>
                              </w:rPr>
                            </w:pPr>
                            <w:r>
                              <w:rPr>
                                <w:color w:val="auto"/>
                              </w:rPr>
                              <w:t>結果公開</w:t>
                            </w:r>
                          </w:p>
                        </w:txbxContent>
                      </wps:txbx>
                      <wps:bodyPr anchor="ctr">
                        <a:prstTxWarp prst="textNoShape"/>
                        <a:noAutofit/>
                      </wps:bodyPr>
                    </wps:wsp>
                  </a:graphicData>
                </a:graphic>
              </wp:anchor>
            </w:drawing>
          </mc:Choice>
          <mc:Fallback>
            <w:pict>
              <v:shape id="shape_0" ID="ホームベース 9" fillcolor="white" stroked="t" style="position:absolute;margin-left:420.4pt;margin-top:3pt;width:82.15pt;height:97.45pt" wp14:anchorId="47E9161F" type="shapetype_15">
                <w10:wrap type="square"/>
                <v:fill o:detectmouseclick="t" type="solid" color2="black"/>
                <v:stroke color="black" weight="12600" joinstyle="miter" endcap="flat"/>
                <v:textbox>
                  <w:txbxContent>
                    <w:p>
                      <w:pPr>
                        <w:pStyle w:val="Style27"/>
                        <w:jc w:val="center"/>
                        <w:rPr>
                          <w:color w:val="auto"/>
                        </w:rPr>
                      </w:pPr>
                      <w:r>
                        <w:rPr>
                          <w:color w:val="auto"/>
                        </w:rPr>
                        <w:t>（６）調査</w:t>
                      </w:r>
                    </w:p>
                    <w:p>
                      <w:pPr>
                        <w:pStyle w:val="Style27"/>
                        <w:jc w:val="center"/>
                        <w:rPr>
                          <w:color w:val="auto"/>
                        </w:rPr>
                      </w:pPr>
                      <w:r>
                        <w:rPr>
                          <w:color w:val="auto"/>
                        </w:rPr>
                        <w:t>結果公開</w:t>
                      </w:r>
                    </w:p>
                  </w:txbxContent>
                </v:textbox>
              </v:shape>
            </w:pict>
          </mc:Fallback>
        </mc:AlternateContent>
      </w:r>
      <w:r>
        <w:rPr>
          <w:rFonts w:ascii="ＭＳ 明朝" w:hAnsi="ＭＳ 明朝" w:cs="ＭＳ 明朝" w:eastAsia="ＭＳ 明朝"/>
          <w:kern w:val="0"/>
          <w:szCs w:val="21"/>
        </w:rPr>
        <w:t>　</w:t>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（１）参加申込み</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　本調査への参加をご希望の場合は、別紙１「エントリーシート」をご記入の上、令和２年１０月９日（金）までに、以下提出先に電子メールで送信ください。</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受領した際には、市担当者より受領の旨の返信をいたしますが、送信後２営業日を過ぎても返信が無い場合は、お手数ですがご一報頂きますようお願いいたします。</w:t>
      </w:r>
    </w:p>
    <w:p>
      <w:pPr>
        <w:pStyle w:val="Normal"/>
        <w:ind w:left="630" w:hanging="630"/>
        <w:jc w:val="left"/>
        <w:rPr/>
      </w:pPr>
      <w:r>
        <w:rPr>
          <w:rFonts w:ascii="ＭＳ 明朝" w:hAnsi="ＭＳ 明朝" w:cs="ＭＳ 明朝" w:eastAsia="ＭＳ 明朝"/>
          <w:kern w:val="0"/>
          <w:szCs w:val="21"/>
        </w:rPr>
        <w:t xml:space="preserve">         ■</w:t>
      </w:r>
      <w:r>
        <w:rPr>
          <w:rFonts w:ascii="ＭＳ 明朝" w:hAnsi="ＭＳ 明朝" w:cs="ＭＳ 明朝" w:eastAsia="ＭＳ 明朝"/>
          <w:kern w:val="0"/>
          <w:szCs w:val="21"/>
        </w:rPr>
        <w:t>送 信 先：鴻巣市財務部資産管理課代表アドレス　</w:t>
      </w:r>
      <w:hyperlink r:id="rId2">
        <w:r>
          <w:rPr>
            <w:rStyle w:val="Style14"/>
            <w:rFonts w:eastAsia="ＭＳ 明朝" w:cs="ＭＳ 明朝" w:ascii="ＭＳ 明朝" w:hAnsi="ＭＳ 明朝"/>
            <w:color w:val="auto"/>
            <w:kern w:val="0"/>
            <w:szCs w:val="21"/>
          </w:rPr>
          <w:t>kanri@city.kounosu.saitama.jp</w:t>
        </w:r>
      </w:hyperlink>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w:t>
      </w:r>
      <w:r>
        <w:rPr>
          <w:rFonts w:eastAsia="ＭＳ 明朝" w:cs="ＭＳ 明朝" w:ascii="ＭＳ 明朝" w:hAnsi="ＭＳ 明朝"/>
          <w:kern w:val="0"/>
          <w:szCs w:val="21"/>
        </w:rPr>
        <w:tab/>
        <w:t xml:space="preserve"> ■</w:t>
      </w:r>
      <w:r>
        <w:rPr>
          <w:rFonts w:ascii="ＭＳ 明朝" w:hAnsi="ＭＳ 明朝" w:cs="ＭＳ 明朝" w:eastAsia="ＭＳ 明朝"/>
          <w:kern w:val="0"/>
          <w:szCs w:val="21"/>
        </w:rPr>
        <w:t>補足事項：メールタイトルは「鴻巣市包括参加希望【団体名】」としてください。</w:t>
      </w:r>
    </w:p>
    <w:p>
      <w:pPr>
        <w:pStyle w:val="Normal"/>
        <w:ind w:left="630" w:hanging="63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（２）実施日連絡・追加資料の送付</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　別紙１「エントリーシート」の内容を確認の上、令和２年１０月１２日（月）までに、実施日時等を電子メール等にて連絡いたします。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（※申込み頂いた事業者から随時、送付します。）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（※原則、希望事業者全てと調査を行わせて頂く想定です。）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　選出案内と併せ、現行で発注している「施設仕様一覧」を送付します。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（３）現地確認</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xml:space="preserve">    </w:t>
      </w:r>
      <w:r>
        <w:rPr>
          <w:rFonts w:ascii="ＭＳ 明朝" w:hAnsi="ＭＳ 明朝" w:cs="ＭＳ 明朝" w:eastAsia="ＭＳ 明朝"/>
          <w:kern w:val="0"/>
          <w:szCs w:val="21"/>
        </w:rPr>
        <w:t>・　調査対象施設の現地確認を行いたい事業者には、可能な範囲での確認期間を設けます。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別紙２「現地確認申込書」に記載の上、（１）参加申込みに併せて、送信ください。</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（２）事業者選出案内と併せ、実施日時・集合方法・時間等を電子メール等にて連絡いたします。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■現地確認実施期間：令和２年１０月１２日（月）～１０月２３日（金）の間</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午前９時～午後５時の間　（土日は除く）</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　申込多数の場合等、希望施設箇所や時間を制限させて頂く場合もありますので、予めご了承下さい。</w:t>
      </w:r>
    </w:p>
    <w:p>
      <w:pPr>
        <w:pStyle w:val="Normal"/>
        <w:ind w:left="630" w:hanging="63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（４）第１回ヒアリング</w:t>
      </w:r>
    </w:p>
    <w:p>
      <w:pPr>
        <w:pStyle w:val="Normal"/>
        <w:ind w:left="210" w:firstLine="210"/>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①</w:t>
      </w:r>
      <w:r>
        <w:rPr>
          <w:rFonts w:ascii="ＭＳ Ｐゴシック" w:hAnsi="ＭＳ Ｐゴシック" w:cs="ＭＳ 明朝" w:eastAsia="ＭＳ Ｐゴシック" w:asciiTheme="majorEastAsia" w:eastAsiaTheme="majorEastAsia" w:hAnsiTheme="majorEastAsia"/>
          <w:kern w:val="0"/>
          <w:szCs w:val="21"/>
        </w:rPr>
        <w:t>　実施日時・場所等</w:t>
      </w:r>
    </w:p>
    <w:p>
      <w:pPr>
        <w:pStyle w:val="Normal"/>
        <w:ind w:firstLine="840"/>
        <w:jc w:val="left"/>
        <w:rPr>
          <w:rFonts w:ascii="ＭＳ 明朝" w:hAnsi="ＭＳ 明朝" w:eastAsia="ＭＳ 明朝" w:cs="ＭＳ 明朝"/>
          <w:kern w:val="0"/>
          <w:szCs w:val="21"/>
        </w:rPr>
      </w:pPr>
      <w:r>
        <w:rPr>
          <w:rFonts w:ascii="ＭＳ 明朝" w:hAnsi="ＭＳ 明朝" w:cs="ＭＳ 明朝" w:eastAsia="ＭＳ 明朝"/>
          <w:kern w:val="0"/>
          <w:szCs w:val="21"/>
        </w:rPr>
        <w:t>・　実施日時・場所は、希望事業者にメール等で個別に連絡します。</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場所は「鴻巣市役所内」、実施日は令和２年１０月２６日（月）から１０月３０日（金）の間、所要時間は１～２時間程度を予定しています。</w:t>
      </w:r>
    </w:p>
    <w:p>
      <w:pPr>
        <w:pStyle w:val="Normal"/>
        <w:ind w:left="1050" w:hanging="105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left="1050" w:hanging="1050"/>
        <w:jc w:val="left"/>
        <w:rPr>
          <w:rFonts w:ascii="ＭＳ Ｐゴシック" w:hAnsi="ＭＳ Ｐゴシック" w:eastAsia="ＭＳ Ｐゴシック" w:cs="ＭＳ 明朝" w:asciiTheme="majorEastAsia" w:eastAsiaTheme="majorEastAsia" w:hAnsiTheme="majorEastAsia"/>
          <w:kern w:val="0"/>
          <w:szCs w:val="21"/>
        </w:rPr>
      </w:pPr>
      <w:r>
        <w:rPr>
          <w:rFonts w:ascii="ＭＳ 明朝" w:hAnsi="ＭＳ 明朝" w:cs="ＭＳ 明朝" w:eastAsia="ＭＳ 明朝"/>
          <w:kern w:val="0"/>
          <w:szCs w:val="21"/>
        </w:rPr>
        <w:t>　</w:t>
      </w:r>
      <w:r>
        <w:rPr>
          <w:rFonts w:ascii="ＭＳ Ｐゴシック" w:hAnsi="ＭＳ Ｐゴシック" w:cs="ＭＳ 明朝" w:eastAsia="ＭＳ Ｐゴシック" w:asciiTheme="majorEastAsia" w:eastAsiaTheme="majorEastAsia" w:hAnsiTheme="majorEastAsia"/>
          <w:kern w:val="0"/>
          <w:szCs w:val="21"/>
        </w:rPr>
        <w:t>　②　ヒアリング実施方法等</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参加される事業者の知的財産を保護するため、ヒアリングは個別に実施します。</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ヒアリングは、各施設所管部局から選出された本市包括施設管理業務検討ワーキンググループメンバー１０名＋事務局３名にて対応させて頂きます。</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参加事業者の出席人数は５名までとします。</w:t>
      </w:r>
    </w:p>
    <w:p>
      <w:pPr>
        <w:pStyle w:val="Normal"/>
        <w:ind w:left="1050" w:hanging="210"/>
        <w:jc w:val="left"/>
        <w:rPr>
          <w:rFonts w:ascii="ＭＳ 明朝" w:hAnsi="ＭＳ 明朝" w:eastAsia="ＭＳ 明朝" w:cs="ＭＳ 明朝"/>
          <w:kern w:val="0"/>
          <w:szCs w:val="21"/>
        </w:rPr>
      </w:pPr>
      <w:r>
        <w:rPr>
          <w:rFonts w:ascii="ＭＳ 明朝" w:hAnsi="ＭＳ 明朝" w:cs="ＭＳ 明朝" w:eastAsia="ＭＳ 明朝"/>
          <w:kern w:val="0"/>
          <w:szCs w:val="21"/>
        </w:rPr>
        <w:t>・　事業者側の資料提供の必要はありませんが、提供を妨げるものでもありません。必要性に応じご用意ください。</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本調査結果公表とりまとめの都合上、</w:t>
      </w:r>
      <w:r>
        <w:rPr>
          <w:rFonts w:eastAsia="ＭＳ 明朝" w:cs="ＭＳ 明朝" w:ascii="ＭＳ 明朝" w:hAnsi="ＭＳ 明朝"/>
          <w:kern w:val="0"/>
          <w:szCs w:val="21"/>
        </w:rPr>
        <w:t>IC</w:t>
      </w:r>
      <w:r>
        <w:rPr>
          <w:rFonts w:ascii="ＭＳ 明朝" w:hAnsi="ＭＳ 明朝" w:cs="ＭＳ 明朝" w:eastAsia="ＭＳ 明朝"/>
          <w:kern w:val="0"/>
          <w:szCs w:val="21"/>
        </w:rPr>
        <w:t>レコーダーにて音声録音させて頂くことをご了解ください。</w:t>
      </w:r>
    </w:p>
    <w:p>
      <w:pPr>
        <w:pStyle w:val="Normal"/>
        <w:widowControl/>
        <w:jc w:val="left"/>
        <w:rPr>
          <w:rFonts w:ascii="ＭＳ 明朝" w:hAnsi="ＭＳ 明朝" w:eastAsia="ＭＳ 明朝" w:cs="ＭＳ 明朝"/>
          <w:kern w:val="0"/>
          <w:szCs w:val="21"/>
        </w:rPr>
      </w:pPr>
      <w:r>
        <w:rPr>
          <w:rFonts w:eastAsia="ＭＳ 明朝" w:cs="ＭＳ 明朝" w:ascii="ＭＳ 明朝" w:hAnsi="ＭＳ 明朝"/>
          <w:kern w:val="0"/>
          <w:szCs w:val="21"/>
        </w:rPr>
      </w:r>
      <w:r>
        <w:br w:type="page"/>
      </w:r>
    </w:p>
    <w:p>
      <w:pPr>
        <w:pStyle w:val="Normal"/>
        <w:ind w:left="1050" w:hanging="1050"/>
        <w:jc w:val="left"/>
        <w:rPr>
          <w:rFonts w:ascii="ＭＳ 明朝" w:hAnsi="ＭＳ 明朝" w:eastAsia="ＭＳ 明朝" w:cs="ＭＳ 明朝"/>
          <w:kern w:val="0"/>
          <w:szCs w:val="21"/>
        </w:rPr>
      </w:pPr>
      <w:r>
        <w:rPr>
          <w:rFonts w:eastAsia="ＭＳ 明朝" w:cs="ＭＳ 明朝" w:ascii="ＭＳ 明朝" w:hAnsi="ＭＳ 明朝"/>
          <w:kern w:val="0"/>
          <w:szCs w:val="21"/>
        </w:rPr>
        <mc:AlternateContent>
          <mc:Choice Requires="wpg">
            <w:drawing>
              <wp:anchor behindDoc="0" distT="0" distB="0" distL="114300" distR="114300" simplePos="0" locked="0" layoutInCell="1" allowOverlap="1" relativeHeight="7" wp14:anchorId="1AE9A5FF">
                <wp:simplePos x="0" y="0"/>
                <wp:positionH relativeFrom="column">
                  <wp:posOffset>200025</wp:posOffset>
                </wp:positionH>
                <wp:positionV relativeFrom="paragraph">
                  <wp:posOffset>-46990</wp:posOffset>
                </wp:positionV>
                <wp:extent cx="6049010" cy="6925310"/>
                <wp:effectExtent l="0" t="0" r="28575" b="28575"/>
                <wp:wrapNone/>
                <wp:docPr id="13" name="グループ化 4"/>
                <a:graphic xmlns:a="http://schemas.openxmlformats.org/drawingml/2006/main">
                  <a:graphicData uri="http://schemas.microsoft.com/office/word/2010/wordprocessingGroup">
                    <wpg:wgp>
                      <wpg:cNvGrpSpPr/>
                      <wpg:grpSpPr>
                        <a:xfrm>
                          <a:off x="0" y="0"/>
                          <a:ext cx="6048360" cy="6924600"/>
                        </a:xfrm>
                      </wpg:grpSpPr>
                      <wps:wsp>
                        <wps:cNvSpPr/>
                        <wps:spPr>
                          <a:xfrm>
                            <a:off x="0" y="210240"/>
                            <a:ext cx="6048360" cy="6714360"/>
                          </a:xfrm>
                          <a:prstGeom prst="roundRect">
                            <a:avLst>
                              <a:gd name="adj" fmla="val 4287"/>
                            </a:avLst>
                          </a:prstGeom>
                          <a:noFill/>
                          <a:ln w="9360">
                            <a:solidFill>
                              <a:schemeClr val="dk1"/>
                            </a:solidFill>
                            <a:round/>
                          </a:ln>
                        </wps:spPr>
                        <wps:style>
                          <a:lnRef idx="0"/>
                          <a:fillRef idx="0"/>
                          <a:effectRef idx="0"/>
                          <a:fontRef idx="minor"/>
                        </wps:style>
                        <wps:bodyPr/>
                      </wps:wsp>
                      <wps:wsp>
                        <wps:cNvSpPr/>
                        <wps:spPr>
                          <a:xfrm>
                            <a:off x="0" y="0"/>
                            <a:ext cx="1932840" cy="270360"/>
                          </a:xfrm>
                          <a:prstGeom prst="rect">
                            <a:avLst/>
                          </a:prstGeom>
                          <a:ln>
                            <a:noFill/>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1"/>
                                  <w:b w:val="false"/>
                                  <w:u w:val="none"/>
                                  <w:dstrike w:val="false"/>
                                  <w:strike w:val="false"/>
                                  <w:i w:val="false"/>
                                  <w:vertAlign w:val="baseline"/>
                                  <w:position w:val="0"/>
                                  <w:spacing w:val="0"/>
                                  <w:szCs w:val="21"/>
                                  <w:bCs w:val="false"/>
                                  <w:iCs w:val="false"/>
                                  <w:smallCaps w:val="false"/>
                                  <w:caps w:val="false"/>
                                  <w:rFonts w:ascii="Calibri" w:hAnsi="Calibri" w:eastAsia="ＭＳ Ｐ明朝"/>
                                  <w:color w:val="000000"/>
                                </w:rPr>
                                <w:t>③ヒアリングにて伺いたい事項</w:t>
                              </w:r>
                            </w:p>
                          </w:txbxContent>
                        </wps:txbx>
                        <wps:bodyPr anchor="ctr">
                          <a:noAutofit/>
                        </wps:bodyPr>
                      </wps:wsp>
                    </wpg:wgp>
                  </a:graphicData>
                </a:graphic>
              </wp:anchor>
            </w:drawing>
          </mc:Choice>
          <mc:Fallback>
            <w:pict>
              <v:group id="shape_0" alt="グループ化 4" style="position:absolute;margin-left:15.75pt;margin-top:-3.7pt;width:476.25pt;height:545.25pt" coordorigin="315,-74" coordsize="9525,10905">
                <v:rect id="shape_0" ID="正方形/長方形 2" fillcolor="white" stroked="f" style="position:absolute;left:315;top:-74;width:3043;height:425">
                  <v:textbox>
                    <w:txbxContent>
                      <w:p>
                        <w:pPr>
                          <w:overflowPunct w:val="false"/>
                          <w:spacing w:before="0" w:after="0" w:lineRule="auto" w:line="240"/>
                          <w:jc w:val="center"/>
                          <w:rPr/>
                        </w:pPr>
                        <w:r>
                          <w:rPr>
                            <w:sz w:val="21"/>
                            <w:b w:val="false"/>
                            <w:u w:val="none"/>
                            <w:dstrike w:val="false"/>
                            <w:strike w:val="false"/>
                            <w:i w:val="false"/>
                            <w:vertAlign w:val="baseline"/>
                            <w:position w:val="0"/>
                            <w:spacing w:val="0"/>
                            <w:szCs w:val="21"/>
                            <w:bCs w:val="false"/>
                            <w:iCs w:val="false"/>
                            <w:smallCaps w:val="false"/>
                            <w:caps w:val="false"/>
                            <w:rFonts w:ascii="Calibri" w:hAnsi="Calibri" w:eastAsia="ＭＳ Ｐ明朝"/>
                            <w:color w:val="000000"/>
                          </w:rPr>
                          <w:t>③ヒアリングにて伺いたい事項</w:t>
                        </w:r>
                      </w:p>
                    </w:txbxContent>
                  </v:textbox>
                  <w10:wrap type="square"/>
                  <v:fill o:detectmouseclick="t" type="solid" color2="black"/>
                  <v:stroke color="#3465a4" weight="12600" joinstyle="miter" endcap="flat"/>
                </v:rect>
              </v:group>
            </w:pict>
          </mc:Fallback>
        </mc:AlternateContent>
      </w:r>
    </w:p>
    <w:p>
      <w:pPr>
        <w:pStyle w:val="Normal"/>
        <w:ind w:left="1050" w:hanging="1050"/>
        <w:jc w:val="left"/>
        <w:rPr>
          <w:rFonts w:ascii="ＭＳ Ｐゴシック" w:hAnsi="ＭＳ Ｐゴシック" w:eastAsia="ＭＳ Ｐゴシック" w:asciiTheme="majorEastAsia" w:eastAsiaTheme="majorEastAsia" w:hAnsiTheme="majorEastAsia"/>
        </w:rPr>
      </w:pPr>
      <w:r>
        <w:rPr>
          <w:rFonts w:ascii="ＭＳ 明朝" w:hAnsi="ＭＳ 明朝" w:cs="ＭＳ 明朝" w:eastAsia="ＭＳ 明朝"/>
          <w:kern w:val="0"/>
          <w:szCs w:val="21"/>
        </w:rPr>
        <w:t>　　　</w:t>
      </w:r>
      <w:r>
        <w:rPr>
          <w:rFonts w:ascii="ＭＳ Ｐゴシック" w:hAnsi="ＭＳ Ｐゴシック" w:eastAsia="ＭＳ Ｐゴシック" w:asciiTheme="majorEastAsia" w:eastAsiaTheme="majorEastAsia" w:hAnsiTheme="majorEastAsia"/>
        </w:rPr>
        <w:t>１．現行の予算規模に対する、業務範囲（案）の受注可能性</w:t>
      </w:r>
    </w:p>
    <w:p>
      <w:pPr>
        <w:pStyle w:val="Normal"/>
        <w:jc w:val="left"/>
        <w:rPr/>
      </w:pPr>
      <w:r>
        <w:rPr/>
        <w:t>　　　　　　　⇒　不足する場合等、目安の規模感</w:t>
      </w:r>
    </w:p>
    <w:p>
      <w:pPr>
        <w:pStyle w:val="Normal"/>
        <w:jc w:val="left"/>
        <w:rPr>
          <w:u w:val="single"/>
        </w:rPr>
      </w:pPr>
      <w:r>
        <w:rPr/>
        <w:t>　　　　　　　　　　</w:t>
      </w:r>
      <w:r>
        <w:rPr>
          <w:u w:val="single"/>
        </w:rPr>
        <w:t>　（※見積書が頂ける場合には、是非当日ご持参ください。）</w:t>
      </w:r>
    </w:p>
    <w:p>
      <w:pPr>
        <w:pStyle w:val="Normal"/>
        <w:jc w:val="left"/>
        <w:rPr/>
      </w:pPr>
      <w:r>
        <w:rPr/>
        <w:t>　　　　　　　⇒　マネジメントフィーの必要性・目安</w:t>
      </w:r>
    </w:p>
    <w:p>
      <w:pPr>
        <w:pStyle w:val="Normal"/>
        <w:jc w:val="left"/>
        <w:rPr/>
      </w:pPr>
      <w:r>
        <w:rPr/>
        <w:t>　　　　　　　⇒　現行、ほぼフルメンテ契約でない保守管理に対し、フルメンテ契約の導入可能性及び</w:t>
      </w:r>
    </w:p>
    <w:p>
      <w:pPr>
        <w:pStyle w:val="Normal"/>
        <w:jc w:val="left"/>
        <w:rPr/>
      </w:pPr>
      <w:r>
        <w:rPr/>
        <w:t>　　　　　　　　　 追加経費の規模感</w:t>
      </w:r>
    </w:p>
    <w:p>
      <w:pPr>
        <w:pStyle w:val="Normal"/>
        <w:ind w:firstLine="630"/>
        <w:jc w:val="left"/>
        <w:rPr>
          <w:rFonts w:ascii="ＭＳ Ｐゴシック" w:hAnsi="ＭＳ Ｐゴシック" w:eastAsia="ＭＳ Ｐゴシック" w:asciiTheme="majorEastAsia" w:eastAsiaTheme="majorEastAsia" w:hAnsiTheme="majorEastAsia"/>
        </w:rPr>
      </w:pPr>
      <w:r>
        <w:rPr>
          <w:rFonts w:ascii="ＭＳ Ｐゴシック" w:hAnsi="ＭＳ Ｐゴシック" w:eastAsia="ＭＳ Ｐゴシック" w:asciiTheme="majorEastAsia" w:eastAsiaTheme="majorEastAsia" w:hAnsiTheme="majorEastAsia"/>
        </w:rPr>
        <w:t>２．業務範囲（案）における、想定対象施設・業務への意見・提案</w:t>
      </w:r>
    </w:p>
    <w:p>
      <w:pPr>
        <w:pStyle w:val="Normal"/>
        <w:jc w:val="left"/>
        <w:rPr/>
      </w:pPr>
      <w:r>
        <w:rPr/>
        <w:t>　　　　　　　⇒　コスト削減余地</w:t>
      </w:r>
    </w:p>
    <w:p>
      <w:pPr>
        <w:pStyle w:val="Normal"/>
        <w:ind w:firstLine="945"/>
        <w:jc w:val="left"/>
        <w:rPr/>
      </w:pPr>
      <w:r>
        <w:rPr/>
        <w:t>⇒</w:t>
      </w:r>
      <w:r>
        <w:rPr/>
        <w:t>　指定管理者制度導入施設を組み込んでいる点</w:t>
      </w:r>
    </w:p>
    <w:p>
      <w:pPr>
        <w:pStyle w:val="Normal"/>
        <w:ind w:firstLine="945"/>
        <w:jc w:val="left"/>
        <w:rPr/>
      </w:pPr>
      <w:r>
        <w:rPr/>
        <w:t xml:space="preserve">⇒ </w:t>
      </w:r>
      <w:r>
        <w:rPr/>
        <w:t>「公園」「映画館」「文化センター」「立体駐車場」等、他市例ではあまり無い施設を内包する点</w:t>
      </w:r>
    </w:p>
    <w:p>
      <w:pPr>
        <w:pStyle w:val="Normal"/>
        <w:ind w:firstLine="945"/>
        <w:jc w:val="left"/>
        <w:rPr/>
      </w:pPr>
      <w:r>
        <w:rPr/>
        <w:t>⇒</w:t>
      </w:r>
      <w:r>
        <w:rPr/>
        <w:t>　巡回点検を内包する点</w:t>
      </w:r>
    </w:p>
    <w:p>
      <w:pPr>
        <w:pStyle w:val="Normal"/>
        <w:ind w:firstLine="945"/>
        <w:jc w:val="left"/>
        <w:rPr/>
      </w:pPr>
      <w:r>
        <w:rPr/>
        <w:t>⇒</w:t>
      </w:r>
      <w:r>
        <w:rPr/>
        <w:t>　小破修繕（１３０万円以下）を</w:t>
      </w:r>
      <w:bookmarkStart w:id="0" w:name="_GoBack"/>
      <w:bookmarkEnd w:id="0"/>
      <w:r>
        <w:rPr/>
        <w:t>内包する点</w:t>
      </w:r>
    </w:p>
    <w:p>
      <w:pPr>
        <w:pStyle w:val="Normal"/>
        <w:ind w:firstLine="945"/>
        <w:jc w:val="left"/>
        <w:rPr/>
      </w:pPr>
      <w:r>
        <w:rPr/>
        <w:t>⇒</w:t>
      </w:r>
      <w:r>
        <w:rPr/>
        <w:t>　常駐（日中）対応が望ましい施設・業務はあるか（現況の常駐施設への意見等）</w:t>
      </w:r>
    </w:p>
    <w:p>
      <w:pPr>
        <w:pStyle w:val="Normal"/>
        <w:ind w:firstLine="945"/>
        <w:jc w:val="left"/>
        <w:rPr/>
      </w:pPr>
      <w:r>
        <w:rPr/>
        <w:t>⇒</w:t>
      </w:r>
      <w:r>
        <w:rPr/>
        <w:t>　想定する責任者・担当者の人数</w:t>
      </w:r>
    </w:p>
    <w:p>
      <w:pPr>
        <w:pStyle w:val="Normal"/>
        <w:ind w:firstLine="945"/>
        <w:jc w:val="left"/>
        <w:rPr/>
      </w:pPr>
      <w:r>
        <w:rPr/>
        <w:t>⇒</w:t>
      </w:r>
      <w:r>
        <w:rPr/>
        <w:t>　段階的に業務施設・内容を追加していくことについて</w:t>
      </w:r>
    </w:p>
    <w:p>
      <w:pPr>
        <w:pStyle w:val="Normal"/>
        <w:ind w:firstLine="945"/>
        <w:jc w:val="left"/>
        <w:rPr/>
      </w:pPr>
      <w:r>
        <w:rPr/>
        <w:t>⇒</w:t>
      </w:r>
      <w:r>
        <w:rPr/>
        <w:t>　地元企業の活用に関する考え方</w:t>
      </w:r>
    </w:p>
    <w:p>
      <w:pPr>
        <w:pStyle w:val="Normal"/>
        <w:ind w:firstLine="630"/>
        <w:jc w:val="left"/>
        <w:rPr>
          <w:rFonts w:ascii="ＭＳ Ｐゴシック" w:hAnsi="ＭＳ Ｐゴシック" w:eastAsia="ＭＳ Ｐゴシック" w:asciiTheme="majorEastAsia" w:eastAsiaTheme="majorEastAsia" w:hAnsiTheme="majorEastAsia"/>
        </w:rPr>
      </w:pPr>
      <w:r>
        <w:rPr>
          <w:rFonts w:ascii="ＭＳ Ｐゴシック" w:hAnsi="ＭＳ Ｐゴシック" w:eastAsia="ＭＳ Ｐゴシック" w:asciiTheme="majorEastAsia" w:eastAsiaTheme="majorEastAsia" w:hAnsiTheme="majorEastAsia"/>
        </w:rPr>
        <w:t>３．提案可能な業務</w:t>
      </w:r>
    </w:p>
    <w:p>
      <w:pPr>
        <w:pStyle w:val="Normal"/>
        <w:ind w:left="1155" w:hanging="210"/>
        <w:jc w:val="left"/>
        <w:rPr/>
      </w:pPr>
      <w:r>
        <w:rPr/>
        <w:t>⇒</w:t>
      </w:r>
      <w:r>
        <w:rPr/>
        <w:t>　市が特に求めたい「予防保全体制の確立に向けた、</w:t>
      </w:r>
      <w:r>
        <w:rPr>
          <w:u w:val="single"/>
        </w:rPr>
        <w:t>管理水準の統一・向上</w:t>
      </w:r>
      <w:r>
        <w:rPr/>
        <w:t>や</w:t>
      </w:r>
      <w:r>
        <w:rPr>
          <w:u w:val="single"/>
        </w:rPr>
        <w:t>事務の効率化</w:t>
      </w:r>
      <w:r>
        <w:rPr/>
        <w:t>」に対する提案の可能性</w:t>
      </w:r>
    </w:p>
    <w:p>
      <w:pPr>
        <w:pStyle w:val="Normal"/>
        <w:ind w:left="630" w:firstLine="315"/>
        <w:jc w:val="left"/>
        <w:rPr/>
      </w:pPr>
      <w:r>
        <w:rPr/>
        <w:t>⇒</w:t>
      </w:r>
      <w:r>
        <w:rPr/>
        <w:t>　漏水、停電等の緊急時における対応及び災害時における業務継続についての考え方</w:t>
      </w:r>
    </w:p>
    <w:p>
      <w:pPr>
        <w:pStyle w:val="Normal"/>
        <w:ind w:firstLine="630"/>
        <w:jc w:val="left"/>
        <w:rPr>
          <w:rFonts w:ascii="ＭＳ Ｐゴシック" w:hAnsi="ＭＳ Ｐゴシック" w:eastAsia="ＭＳ Ｐゴシック" w:asciiTheme="majorEastAsia" w:eastAsiaTheme="majorEastAsia" w:hAnsiTheme="majorEastAsia"/>
        </w:rPr>
      </w:pPr>
      <w:r>
        <w:rPr>
          <w:rFonts w:ascii="ＭＳ Ｐゴシック" w:hAnsi="ＭＳ Ｐゴシック" w:eastAsia="ＭＳ Ｐゴシック" w:asciiTheme="majorEastAsia" w:eastAsiaTheme="majorEastAsia" w:hAnsiTheme="majorEastAsia"/>
        </w:rPr>
        <w:t>４．第２回ヒアリング及び第２回サウンディング型市場調査に向けた意見・提案</w:t>
      </w:r>
    </w:p>
    <w:p>
      <w:pPr>
        <w:pStyle w:val="Normal"/>
        <w:jc w:val="left"/>
        <w:rPr/>
      </w:pPr>
      <w:r>
        <w:rPr/>
        <w:t>　　　　　　 ⇒　求めたい資料等への意見</w:t>
      </w:r>
    </w:p>
    <w:p>
      <w:pPr>
        <w:pStyle w:val="Normal"/>
        <w:ind w:firstLine="630"/>
        <w:jc w:val="left"/>
        <w:rPr>
          <w:rFonts w:ascii="ＭＳ Ｐゴシック" w:hAnsi="ＭＳ Ｐゴシック" w:eastAsia="ＭＳ Ｐゴシック" w:asciiTheme="majorEastAsia" w:eastAsiaTheme="majorEastAsia" w:hAnsiTheme="majorEastAsia"/>
        </w:rPr>
      </w:pPr>
      <w:r>
        <w:rPr>
          <w:rFonts w:ascii="ＭＳ Ｐゴシック" w:hAnsi="ＭＳ Ｐゴシック" w:eastAsia="ＭＳ Ｐゴシック" w:asciiTheme="majorEastAsia" w:eastAsiaTheme="majorEastAsia" w:hAnsiTheme="majorEastAsia"/>
        </w:rPr>
        <w:t>５．公募型プロポーザルに向けた意見・提案</w:t>
      </w:r>
    </w:p>
    <w:p>
      <w:pPr>
        <w:pStyle w:val="Normal"/>
        <w:ind w:left="630" w:hanging="630"/>
        <w:jc w:val="left"/>
        <w:rPr/>
      </w:pPr>
      <w:r>
        <w:rPr/>
        <w:t>　　　     ⇒　（３）④事業化スケジュール</w:t>
      </w:r>
      <w:r>
        <w:rPr/>
        <w:t>(</w:t>
      </w:r>
      <w:r>
        <w:rPr/>
        <w:t>案</w:t>
      </w:r>
      <w:r>
        <w:rPr/>
        <w:t>)</w:t>
      </w:r>
      <w:r>
        <w:rPr/>
        <w:t>について</w:t>
      </w:r>
    </w:p>
    <w:p>
      <w:pPr>
        <w:pStyle w:val="Normal"/>
        <w:ind w:left="1155" w:hanging="210"/>
        <w:jc w:val="left"/>
        <w:rPr/>
      </w:pPr>
      <w:r>
        <w:rPr/>
        <w:t xml:space="preserve">⇒ </w:t>
      </w:r>
      <w:r>
        <w:rPr/>
        <w:t>契約期間、支払時期・回数、履行体制等、仕様に加えるべき項目や、提示してほしい資料等の有無</w:t>
      </w:r>
    </w:p>
    <w:p>
      <w:pPr>
        <w:pStyle w:val="Normal"/>
        <w:ind w:firstLine="630"/>
        <w:jc w:val="left"/>
        <w:rPr>
          <w:rFonts w:ascii="ＭＳ Ｐゴシック" w:hAnsi="ＭＳ Ｐゴシック" w:eastAsia="ＭＳ Ｐゴシック" w:asciiTheme="majorEastAsia" w:eastAsiaTheme="majorEastAsia" w:hAnsiTheme="majorEastAsia"/>
        </w:rPr>
      </w:pPr>
      <w:r>
        <w:rPr>
          <w:rFonts w:ascii="ＭＳ Ｐゴシック" w:hAnsi="ＭＳ Ｐゴシック" w:eastAsia="ＭＳ Ｐゴシック" w:asciiTheme="majorEastAsia" w:eastAsiaTheme="majorEastAsia" w:hAnsiTheme="majorEastAsia"/>
        </w:rPr>
        <w:t>６．その他</w:t>
      </w:r>
    </w:p>
    <w:p>
      <w:pPr>
        <w:pStyle w:val="Normal"/>
        <w:jc w:val="left"/>
        <w:rPr/>
      </w:pPr>
      <w:r>
        <w:rPr/>
        <w:t>　　　     ⇒　実施に当たり行政に期待する支援や配慮等（他市例等から）</w:t>
      </w:r>
    </w:p>
    <w:p>
      <w:pPr>
        <w:pStyle w:val="Normal"/>
        <w:jc w:val="left"/>
        <w:rPr/>
      </w:pPr>
      <w:r>
        <w:rPr/>
        <w:t>　　　　　　 ⇒　本業務に対する代替提案の有無、余地など</w:t>
      </w:r>
    </w:p>
    <w:p>
      <w:pPr>
        <w:pStyle w:val="Normal"/>
        <w:ind w:left="1050" w:hanging="105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left="1050" w:hanging="1050"/>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（５）　第２回ヒアリング</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（４）ヒアリング実施結果を踏まえ、</w:t>
      </w:r>
      <w:r>
        <w:rPr>
          <w:rFonts w:ascii="ＭＳ 明朝" w:hAnsi="ＭＳ 明朝" w:cs="ＭＳ 明朝" w:eastAsia="ＭＳ 明朝"/>
          <w:kern w:val="0"/>
          <w:szCs w:val="21"/>
          <w:u w:val="double"/>
        </w:rPr>
        <w:t>市が再検討した「業務範囲（案）」と「予定価格（案）」及び令和３年度実施予定の「公募型プロポーザル採点表（案）」</w:t>
      </w:r>
      <w:r>
        <w:rPr>
          <w:rFonts w:ascii="ＭＳ 明朝" w:hAnsi="ＭＳ 明朝" w:cs="ＭＳ 明朝" w:eastAsia="ＭＳ 明朝"/>
          <w:kern w:val="0"/>
          <w:szCs w:val="21"/>
        </w:rPr>
        <w:t>について、追加ヒアリングを実施します。</w:t>
      </w:r>
    </w:p>
    <w:p>
      <w:pPr>
        <w:pStyle w:val="Normal"/>
        <w:ind w:left="1060" w:hanging="1060"/>
        <w:jc w:val="left"/>
        <w:rPr>
          <w:rFonts w:ascii="ＭＳ 明朝" w:hAnsi="ＭＳ 明朝" w:eastAsia="ＭＳ 明朝" w:cs="ＭＳ 明朝"/>
          <w:kern w:val="0"/>
          <w:szCs w:val="21"/>
        </w:rPr>
      </w:pPr>
      <w:r>
        <w:rPr>
          <w:rFonts w:ascii="ＭＳ 明朝" w:hAnsi="ＭＳ 明朝" w:cs="ＭＳ 明朝" w:eastAsia="ＭＳ 明朝"/>
          <w:kern w:val="0"/>
          <w:szCs w:val="21"/>
        </w:rPr>
        <w:t>　　　　※　当該ヒアリングにて公募プロポーザル時の予定価格（案）を導き出し、令和３年１月～２月実施予定の第２回サウンディング型市場調査では、業務水準書（案）等のヒアリングを行わせて頂くものです。</w:t>
      </w:r>
    </w:p>
    <w:p>
      <w:pPr>
        <w:pStyle w:val="Normal"/>
        <w:ind w:firstLine="21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firstLine="210"/>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　①　実施日時・場所等</w:t>
      </w:r>
    </w:p>
    <w:p>
      <w:pPr>
        <w:pStyle w:val="Normal"/>
        <w:ind w:left="105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実施日時・場所は、メール等で個別に連絡します。</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場所は「鴻巣市役所内」、実施日は令和２年１１月２４日（火）から１１月３０日（月）の間（土日除く）、所要時間は１時間程度を予定しています。</w:t>
      </w:r>
    </w:p>
    <w:p>
      <w:pPr>
        <w:pStyle w:val="Normal"/>
        <w:ind w:left="708" w:hanging="708"/>
        <w:jc w:val="left"/>
        <w:rPr>
          <w:rFonts w:ascii="ＭＳ 明朝" w:hAnsi="ＭＳ 明朝" w:eastAsia="ＭＳ 明朝" w:cs="ＭＳ 明朝"/>
          <w:kern w:val="0"/>
          <w:szCs w:val="21"/>
        </w:rPr>
      </w:pPr>
      <w:r>
        <w:rPr>
          <w:rFonts w:ascii="ＭＳ 明朝" w:hAnsi="ＭＳ 明朝" w:cs="ＭＳ 明朝" w:eastAsia="ＭＳ 明朝"/>
          <w:kern w:val="0"/>
          <w:szCs w:val="21"/>
        </w:rPr>
        <w:t>　　・　実施連絡と併せ、再検討した「業務範囲</w:t>
      </w:r>
      <w:r>
        <w:rPr>
          <w:rFonts w:eastAsia="ＭＳ 明朝" w:cs="ＭＳ 明朝" w:ascii="ＭＳ 明朝" w:hAnsi="ＭＳ 明朝"/>
          <w:kern w:val="0"/>
          <w:szCs w:val="21"/>
        </w:rPr>
        <w:t>(</w:t>
      </w:r>
      <w:r>
        <w:rPr>
          <w:rFonts w:ascii="ＭＳ 明朝" w:hAnsi="ＭＳ 明朝" w:cs="ＭＳ 明朝" w:eastAsia="ＭＳ 明朝"/>
          <w:kern w:val="0"/>
          <w:szCs w:val="21"/>
        </w:rPr>
        <w:t>案</w:t>
      </w:r>
      <w:r>
        <w:rPr>
          <w:rFonts w:eastAsia="ＭＳ 明朝" w:cs="ＭＳ 明朝" w:ascii="ＭＳ 明朝" w:hAnsi="ＭＳ 明朝"/>
          <w:kern w:val="0"/>
          <w:szCs w:val="21"/>
        </w:rPr>
        <w:t>)</w:t>
      </w:r>
      <w:r>
        <w:rPr>
          <w:rFonts w:ascii="ＭＳ 明朝" w:hAnsi="ＭＳ 明朝" w:cs="ＭＳ 明朝" w:eastAsia="ＭＳ 明朝"/>
          <w:kern w:val="0"/>
          <w:szCs w:val="21"/>
        </w:rPr>
        <w:t>」「予定価格（案）」「公募型プロポーザル採点表（案）」について、資料を送付いたします。</w:t>
      </w:r>
    </w:p>
    <w:p>
      <w:pPr>
        <w:pStyle w:val="Normal"/>
        <w:ind w:left="1050" w:hanging="1050"/>
        <w:jc w:val="left"/>
        <w:rPr>
          <w:rFonts w:ascii="ＭＳ 明朝" w:hAnsi="ＭＳ 明朝" w:eastAsia="ＭＳ 明朝" w:cs="ＭＳ 明朝"/>
          <w:kern w:val="0"/>
          <w:szCs w:val="21"/>
        </w:rPr>
      </w:pPr>
      <w:r>
        <w:rPr>
          <w:rFonts w:eastAsia="ＭＳ 明朝" w:cs="ＭＳ 明朝" w:ascii="ＭＳ 明朝" w:hAnsi="ＭＳ 明朝"/>
          <w:kern w:val="0"/>
          <w:szCs w:val="21"/>
        </w:rPr>
      </w:r>
    </w:p>
    <w:p>
      <w:pPr>
        <w:pStyle w:val="Normal"/>
        <w:ind w:left="1050" w:hanging="1050"/>
        <w:jc w:val="left"/>
        <w:rPr>
          <w:rFonts w:ascii="ＭＳ Ｐゴシック" w:hAnsi="ＭＳ Ｐゴシック" w:eastAsia="ＭＳ Ｐゴシック" w:cs="ＭＳ 明朝" w:asciiTheme="majorEastAsia" w:eastAsiaTheme="majorEastAsia" w:hAnsiTheme="majorEastAsia"/>
          <w:kern w:val="0"/>
          <w:szCs w:val="21"/>
        </w:rPr>
      </w:pPr>
      <w:r>
        <w:rPr>
          <w:rFonts w:ascii="ＭＳ 明朝" w:hAnsi="ＭＳ 明朝" w:cs="ＭＳ 明朝" w:eastAsia="ＭＳ 明朝"/>
          <w:kern w:val="0"/>
          <w:szCs w:val="21"/>
        </w:rPr>
        <w:t>　</w:t>
      </w:r>
      <w:r>
        <w:rPr>
          <w:rFonts w:ascii="ＭＳ Ｐゴシック" w:hAnsi="ＭＳ Ｐゴシック" w:cs="ＭＳ 明朝" w:eastAsia="ＭＳ Ｐゴシック" w:asciiTheme="majorEastAsia" w:eastAsiaTheme="majorEastAsia" w:hAnsiTheme="majorEastAsia"/>
          <w:kern w:val="0"/>
          <w:szCs w:val="21"/>
        </w:rPr>
        <w:t>　②　ヒアリング実施方法等</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　第１回ヒアリングと同様です。</w:t>
      </w:r>
    </w:p>
    <w:p>
      <w:pPr>
        <w:pStyle w:val="Normal"/>
        <w:ind w:left="1050" w:hanging="1050"/>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p>
      <w:pPr>
        <w:pStyle w:val="Normal"/>
        <w:ind w:firstLine="105"/>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（６）調査結果の内容調整・公表</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xml:space="preserve">    </w:t>
      </w:r>
      <w:r>
        <w:rPr>
          <w:rFonts w:ascii="ＭＳ 明朝" w:hAnsi="ＭＳ 明朝" w:cs="ＭＳ 明朝" w:eastAsia="ＭＳ 明朝"/>
          <w:kern w:val="0"/>
          <w:szCs w:val="21"/>
        </w:rPr>
        <w:t>・　調査結果の概要は、令和２年１２月下旬を目途に、調査結果の概要を市ホームページに掲載します。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　事業者名と非公表とすべき事業者の知的財産に係る部分は、原則公表しません。また、参加事業者に内容の確認（事業者のノウハウを保護にする観点）を行った上で公表いたします。</w:t>
      </w:r>
    </w:p>
    <w:p>
      <w:pPr>
        <w:pStyle w:val="Normal"/>
        <w:ind w:left="630" w:hanging="630"/>
        <w:jc w:val="left"/>
        <w:rPr>
          <w:rFonts w:ascii="ＭＳ 明朝" w:hAnsi="ＭＳ 明朝" w:eastAsia="ＭＳ 明朝" w:cs="ＭＳ 明朝"/>
          <w:kern w:val="0"/>
          <w:szCs w:val="21"/>
        </w:rPr>
      </w:pPr>
      <w:r>
        <w:rPr>
          <w:rFonts w:ascii="ＭＳ 明朝" w:hAnsi="ＭＳ 明朝" w:cs="ＭＳ 明朝" w:eastAsia="ＭＳ 明朝"/>
          <w:kern w:val="0"/>
          <w:szCs w:val="21"/>
        </w:rPr>
        <w:t>　</w:t>
      </w:r>
    </w:p>
    <w:p>
      <w:pPr>
        <w:pStyle w:val="Normal"/>
        <w:ind w:left="630" w:hanging="210"/>
        <w:jc w:val="left"/>
        <w:rPr>
          <w:rFonts w:ascii="ＭＳ Ｐゴシック" w:hAnsi="ＭＳ Ｐゴシック" w:eastAsia="ＭＳ Ｐゴシック" w:cs="ＭＳ 明朝" w:asciiTheme="majorEastAsia" w:eastAsiaTheme="majorEastAsia" w:hAnsiTheme="majorEastAsia"/>
          <w:kern w:val="0"/>
          <w:szCs w:val="21"/>
        </w:rPr>
      </w:pPr>
      <w:r>
        <w:rPr>
          <w:rFonts w:ascii="ＭＳ Ｐゴシック" w:hAnsi="ＭＳ Ｐゴシック" w:cs="ＭＳ 明朝" w:eastAsia="ＭＳ Ｐゴシック" w:asciiTheme="majorEastAsia" w:eastAsiaTheme="majorEastAsia" w:hAnsiTheme="majorEastAsia"/>
          <w:kern w:val="0"/>
          <w:szCs w:val="21"/>
        </w:rPr>
        <w:t>【参考】本調査のスケジュール</w:t>
      </w:r>
    </w:p>
    <w:tbl>
      <w:tblPr>
        <w:tblStyle w:val="a3"/>
        <w:tblW w:w="9083" w:type="dxa"/>
        <w:jc w:val="left"/>
        <w:tblInd w:w="562" w:type="dxa"/>
        <w:tblCellMar>
          <w:top w:w="0" w:type="dxa"/>
          <w:left w:w="108" w:type="dxa"/>
          <w:bottom w:w="0" w:type="dxa"/>
          <w:right w:w="108" w:type="dxa"/>
        </w:tblCellMar>
        <w:tblLook w:firstRow="1" w:noVBand="1" w:lastRow="0" w:firstColumn="1" w:lastColumn="0" w:noHBand="0" w:val="04a0"/>
      </w:tblPr>
      <w:tblGrid>
        <w:gridCol w:w="3736"/>
        <w:gridCol w:w="5346"/>
      </w:tblGrid>
      <w:tr>
        <w:trPr>
          <w:trHeight w:val="361" w:hRule="atLeast"/>
        </w:trPr>
        <w:tc>
          <w:tcPr>
            <w:tcW w:w="3736" w:type="dxa"/>
            <w:tcBorders/>
            <w:shd w:color="auto" w:fill="D9D9D9" w:themeFill="background1" w:themeFillShade="d9" w:val="clear"/>
          </w:tcPr>
          <w:p>
            <w:pPr>
              <w:pStyle w:val="Normal"/>
              <w:jc w:val="center"/>
              <w:rPr>
                <w:rFonts w:ascii="ＭＳ 明朝" w:hAnsi="ＭＳ 明朝" w:eastAsia="ＭＳ 明朝" w:cs="ＭＳ 明朝"/>
                <w:kern w:val="0"/>
                <w:szCs w:val="21"/>
              </w:rPr>
            </w:pPr>
            <w:r>
              <w:rPr>
                <w:rFonts w:eastAsia="ＭＳ 明朝" w:cs="ＭＳ 明朝" w:ascii="ＭＳ 明朝" w:hAnsi="ＭＳ 明朝"/>
                <w:kern w:val="0"/>
                <w:szCs w:val="21"/>
              </w:rPr>
            </w:r>
          </w:p>
        </w:tc>
        <w:tc>
          <w:tcPr>
            <w:tcW w:w="5346" w:type="dxa"/>
            <w:tcBorders/>
            <w:shd w:color="auto" w:fill="D9D9D9" w:themeFill="background1" w:themeFillShade="d9" w:val="clear"/>
          </w:tcPr>
          <w:p>
            <w:pPr>
              <w:pStyle w:val="Normal"/>
              <w:jc w:val="center"/>
              <w:rPr>
                <w:rFonts w:ascii="ＭＳ 明朝" w:hAnsi="ＭＳ 明朝" w:eastAsia="ＭＳ 明朝" w:cs="ＭＳ 明朝"/>
                <w:kern w:val="0"/>
                <w:szCs w:val="21"/>
              </w:rPr>
            </w:pPr>
            <w:r>
              <w:rPr>
                <w:rFonts w:ascii="ＭＳ 明朝" w:hAnsi="ＭＳ 明朝" w:cs="ＭＳ 明朝" w:eastAsia="ＭＳ 明朝"/>
                <w:kern w:val="0"/>
                <w:szCs w:val="21"/>
              </w:rPr>
              <w:t>時期</w:t>
            </w:r>
          </w:p>
        </w:tc>
      </w:tr>
      <w:tr>
        <w:trPr>
          <w:trHeight w:val="346"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実施要領公表</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　１日（木）</w:t>
            </w:r>
          </w:p>
        </w:tc>
      </w:tr>
      <w:tr>
        <w:trPr>
          <w:trHeight w:val="722"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参加申込</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　１日（木）～</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　９日（金）</w:t>
            </w:r>
          </w:p>
        </w:tc>
      </w:tr>
      <w:tr>
        <w:trPr>
          <w:trHeight w:val="722"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現地確認実施期間</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令和２年１０月１２日（月）～</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令和２年１０月２３日（金）</w:t>
            </w:r>
          </w:p>
        </w:tc>
      </w:tr>
      <w:tr>
        <w:trPr>
          <w:trHeight w:val="707"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第１回ヒアリング実施期間</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令和２年１０月２６日（月）～</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令和２年１０月３０日（金）</w:t>
            </w:r>
          </w:p>
        </w:tc>
      </w:tr>
      <w:tr>
        <w:trPr>
          <w:trHeight w:val="722"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第２回ヒアリング実施期間</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令和２年１１月２４日（火）～</w:t>
            </w:r>
          </w:p>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令和２年１１月３０日（月）</w:t>
            </w:r>
          </w:p>
        </w:tc>
      </w:tr>
      <w:tr>
        <w:trPr>
          <w:trHeight w:val="346" w:hRule="atLeast"/>
        </w:trPr>
        <w:tc>
          <w:tcPr>
            <w:tcW w:w="373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調査結果の公表</w:t>
            </w:r>
          </w:p>
        </w:tc>
        <w:tc>
          <w:tcPr>
            <w:tcW w:w="5346" w:type="dxa"/>
            <w:tcBorders/>
            <w:shd w:fill="auto" w:val="clear"/>
          </w:tcPr>
          <w:p>
            <w:pPr>
              <w:pStyle w:val="Normal"/>
              <w:jc w:val="left"/>
              <w:rPr>
                <w:rFonts w:ascii="ＭＳ 明朝" w:hAnsi="ＭＳ 明朝" w:eastAsia="ＭＳ 明朝" w:cs="ＭＳ 明朝"/>
                <w:kern w:val="0"/>
                <w:szCs w:val="21"/>
              </w:rPr>
            </w:pPr>
            <w:r>
              <w:rPr>
                <w:rFonts w:ascii="ＭＳ 明朝" w:hAnsi="ＭＳ 明朝" w:cs="ＭＳ 明朝" w:eastAsia="ＭＳ 明朝"/>
                <w:kern w:val="0"/>
                <w:szCs w:val="21"/>
              </w:rPr>
              <w:t>令和２年１２月下旬</w:t>
            </w:r>
          </w:p>
        </w:tc>
      </w:tr>
    </w:tbl>
    <w:p>
      <w:pPr>
        <w:pStyle w:val="Normal"/>
        <w:jc w:val="left"/>
        <w:rPr>
          <w:rFonts w:ascii="ＭＳ ゴシック" w:hAnsi="ＭＳ ゴシック" w:eastAsia="ＭＳ ゴシック" w:cs="ＭＳ ゴシック"/>
          <w:kern w:val="0"/>
          <w:szCs w:val="21"/>
        </w:rPr>
      </w:pPr>
      <w:r>
        <w:rPr>
          <w:rFonts w:eastAsia="ＭＳ ゴシック" w:cs="ＭＳ ゴシック" w:ascii="ＭＳ ゴシック" w:hAnsi="ＭＳ ゴシック"/>
          <w:kern w:val="0"/>
          <w:szCs w:val="21"/>
        </w:rPr>
      </w:r>
    </w:p>
    <w:p>
      <w:pPr>
        <w:pStyle w:val="Normal"/>
        <w:jc w:val="left"/>
        <w:rPr>
          <w:rFonts w:ascii="ＭＳ ゴシック" w:hAnsi="ＭＳ ゴシック" w:eastAsia="ＭＳ ゴシック" w:cs="ＭＳ ゴシック"/>
          <w:kern w:val="0"/>
          <w:szCs w:val="21"/>
          <w:u w:val="single"/>
        </w:rPr>
      </w:pPr>
      <w:r>
        <w:rPr>
          <w:rFonts w:ascii="ＭＳ ゴシック" w:hAnsi="ＭＳ ゴシック" w:cs="ＭＳ ゴシック" w:eastAsia="ＭＳ ゴシック"/>
          <w:kern w:val="0"/>
          <w:szCs w:val="21"/>
          <w:u w:val="single"/>
        </w:rPr>
        <w:t>４．留意事項</w:t>
      </w:r>
    </w:p>
    <w:p>
      <w:pPr>
        <w:pStyle w:val="Normal"/>
        <w:ind w:firstLine="210"/>
        <w:jc w:val="left"/>
        <w:rPr>
          <w:rFonts w:ascii="ＭＳ Ｐゴシック" w:hAnsi="ＭＳ Ｐゴシック" w:eastAsia="ＭＳ Ｐゴシック" w:cs="ＭＳ ゴシック" w:asciiTheme="majorEastAsia" w:eastAsiaTheme="majorEastAsia" w:hAnsiTheme="majorEastAsia"/>
          <w:kern w:val="0"/>
          <w:szCs w:val="21"/>
        </w:rPr>
      </w:pPr>
      <w:r>
        <w:rPr>
          <w:rFonts w:ascii="ＭＳ Ｐゴシック" w:hAnsi="ＭＳ Ｐゴシック" w:cs="ＭＳ ゴシック" w:eastAsia="ＭＳ Ｐゴシック" w:asciiTheme="majorEastAsia" w:eastAsiaTheme="majorEastAsia" w:hAnsiTheme="majorEastAsia"/>
          <w:kern w:val="0"/>
          <w:szCs w:val="21"/>
        </w:rPr>
        <w:t>（１）調査及び調査内容の取扱いについて</w:t>
      </w:r>
    </w:p>
    <w:p>
      <w:pPr>
        <w:pStyle w:val="Normal"/>
        <w:ind w:firstLine="63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①</w:t>
      </w:r>
      <w:r>
        <w:rPr>
          <w:rFonts w:ascii="ＭＳ Ｐ明朝" w:hAnsi="ＭＳ Ｐ明朝" w:cs="ＭＳ ゴシック" w:asciiTheme="minorEastAsia" w:hAnsiTheme="minorEastAsia"/>
          <w:kern w:val="0"/>
          <w:szCs w:val="21"/>
        </w:rPr>
        <w:t>調査の参加実績は、事業者公募等に係る評価の対象となりません。</w:t>
      </w:r>
    </w:p>
    <w:p>
      <w:pPr>
        <w:pStyle w:val="Normal"/>
        <w:ind w:firstLine="63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②</w:t>
      </w:r>
      <w:r>
        <w:rPr>
          <w:rFonts w:ascii="ＭＳ Ｐ明朝" w:hAnsi="ＭＳ Ｐ明朝" w:cs="ＭＳ ゴシック" w:asciiTheme="minorEastAsia" w:hAnsiTheme="minorEastAsia"/>
          <w:kern w:val="0"/>
          <w:szCs w:val="21"/>
        </w:rPr>
        <w:t>調査結果は、包括管理業務委託の導入を検討する以外の目的に使用しません。</w:t>
      </w:r>
    </w:p>
    <w:p>
      <w:pPr>
        <w:pStyle w:val="Normal"/>
        <w:ind w:left="840" w:hanging="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③</w:t>
      </w:r>
      <w:r>
        <w:rPr>
          <w:rFonts w:ascii="ＭＳ Ｐ明朝" w:hAnsi="ＭＳ Ｐ明朝" w:cs="ＭＳ ゴシック" w:asciiTheme="minorEastAsia" w:hAnsiTheme="minorEastAsia"/>
          <w:kern w:val="0"/>
          <w:szCs w:val="21"/>
        </w:rPr>
        <w:t>調査内容は、今後の検討の参考とさせていただきます。ただし、双方の発言とも、あくまでも調査時点での想定のものとし、何ら約束をするものではないことをご理解ください。</w:t>
      </w:r>
    </w:p>
    <w:p>
      <w:pPr>
        <w:pStyle w:val="Normal"/>
        <w:ind w:left="630" w:hanging="210"/>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ind w:left="630" w:hanging="210"/>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ind w:firstLine="210"/>
        <w:jc w:val="left"/>
        <w:rPr>
          <w:rFonts w:ascii="ＭＳ Ｐゴシック" w:hAnsi="ＭＳ Ｐゴシック" w:eastAsia="ＭＳ Ｐゴシック" w:cs="ＭＳ ゴシック" w:asciiTheme="majorEastAsia" w:eastAsiaTheme="majorEastAsia" w:hAnsiTheme="majorEastAsia"/>
          <w:kern w:val="0"/>
          <w:szCs w:val="21"/>
        </w:rPr>
      </w:pPr>
      <w:r>
        <w:rPr>
          <w:rFonts w:ascii="ＭＳ Ｐゴシック" w:hAnsi="ＭＳ Ｐゴシック" w:cs="ＭＳ ゴシック" w:eastAsia="ＭＳ Ｐゴシック" w:asciiTheme="majorEastAsia" w:eastAsiaTheme="majorEastAsia" w:hAnsiTheme="majorEastAsia"/>
          <w:kern w:val="0"/>
          <w:szCs w:val="21"/>
        </w:rPr>
        <w:t>（２）調査に関する費用の負担について</w:t>
      </w:r>
    </w:p>
    <w:p>
      <w:pPr>
        <w:pStyle w:val="Normal"/>
        <w:ind w:firstLine="63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調査参加に要する費用は、参加事業者の負担とします。</w:t>
      </w:r>
    </w:p>
    <w:p>
      <w:pPr>
        <w:pStyle w:val="Normal"/>
        <w:ind w:firstLine="420"/>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ind w:firstLine="210"/>
        <w:jc w:val="left"/>
        <w:rPr>
          <w:rFonts w:ascii="ＭＳ Ｐゴシック" w:hAnsi="ＭＳ Ｐゴシック" w:eastAsia="ＭＳ Ｐゴシック" w:cs="ＭＳ ゴシック" w:asciiTheme="majorEastAsia" w:eastAsiaTheme="majorEastAsia" w:hAnsiTheme="majorEastAsia"/>
          <w:kern w:val="0"/>
          <w:szCs w:val="21"/>
        </w:rPr>
      </w:pPr>
      <w:r>
        <w:rPr>
          <w:rFonts w:ascii="ＭＳ Ｐゴシック" w:hAnsi="ＭＳ Ｐゴシック" w:cs="ＭＳ ゴシック" w:eastAsia="ＭＳ Ｐゴシック" w:asciiTheme="majorEastAsia" w:eastAsiaTheme="majorEastAsia" w:hAnsiTheme="majorEastAsia"/>
          <w:kern w:val="0"/>
          <w:szCs w:val="21"/>
        </w:rPr>
        <w:t>（３）提出資料の取扱い</w:t>
      </w:r>
    </w:p>
    <w:p>
      <w:pPr>
        <w:pStyle w:val="Normal"/>
        <w:ind w:left="420"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参加者から提出された資料等は、返却しません。</w:t>
      </w:r>
    </w:p>
    <w:p>
      <w:pPr>
        <w:pStyle w:val="Normal"/>
        <w:ind w:left="420"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なお、市は、今後の事業実施に向けた検討以外の目的で提出資料等を使用することはありません。</w:t>
      </w:r>
    </w:p>
    <w:p>
      <w:pPr>
        <w:pStyle w:val="Normal"/>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ind w:firstLine="210"/>
        <w:jc w:val="left"/>
        <w:rPr>
          <w:rFonts w:ascii="ＭＳ Ｐゴシック" w:hAnsi="ＭＳ Ｐゴシック" w:eastAsia="ＭＳ Ｐゴシック" w:cs="ＭＳ ゴシック" w:asciiTheme="majorEastAsia" w:eastAsiaTheme="majorEastAsia" w:hAnsiTheme="majorEastAsia"/>
          <w:kern w:val="0"/>
          <w:szCs w:val="21"/>
        </w:rPr>
      </w:pPr>
      <w:r>
        <w:rPr>
          <w:rFonts w:ascii="ＭＳ Ｐゴシック" w:hAnsi="ＭＳ Ｐゴシック" w:cs="ＭＳ ゴシック" w:eastAsia="ＭＳ Ｐゴシック" w:asciiTheme="majorEastAsia" w:eastAsiaTheme="majorEastAsia" w:hAnsiTheme="majorEastAsia"/>
          <w:kern w:val="0"/>
          <w:szCs w:val="21"/>
        </w:rPr>
        <w:t>（４）本市からの提示資料の取扱い</w:t>
      </w:r>
    </w:p>
    <w:p>
      <w:pPr>
        <w:pStyle w:val="Normal"/>
        <w:ind w:left="420"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本市が提供する資料は、参加に係る検討以外の目的で使用してはなりません。また、参加者は、参加に当たって知り得た情報を第三者に漏らしてはなりません。</w:t>
      </w:r>
    </w:p>
    <w:p>
      <w:pPr>
        <w:pStyle w:val="Normal"/>
        <w:ind w:left="420" w:hanging="0"/>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ind w:firstLine="210"/>
        <w:jc w:val="left"/>
        <w:rPr>
          <w:rFonts w:ascii="ＭＳ Ｐゴシック" w:hAnsi="ＭＳ Ｐゴシック" w:eastAsia="ＭＳ Ｐゴシック" w:cs="ＭＳ ゴシック" w:asciiTheme="majorEastAsia" w:eastAsiaTheme="majorEastAsia" w:hAnsiTheme="majorEastAsia"/>
          <w:kern w:val="0"/>
          <w:szCs w:val="21"/>
        </w:rPr>
      </w:pPr>
      <w:r>
        <w:rPr>
          <w:rFonts w:ascii="ＭＳ Ｐゴシック" w:hAnsi="ＭＳ Ｐゴシック" w:cs="ＭＳ ゴシック" w:eastAsia="ＭＳ Ｐゴシック" w:asciiTheme="majorEastAsia" w:eastAsiaTheme="majorEastAsia" w:hAnsiTheme="majorEastAsia"/>
          <w:kern w:val="0"/>
          <w:szCs w:val="21"/>
        </w:rPr>
        <w:t>（５）その他</w:t>
      </w:r>
    </w:p>
    <w:p>
      <w:pPr>
        <w:pStyle w:val="Normal"/>
        <w:ind w:left="420"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本調査について、ご不明な点等ありましたら、「５．参加申込先及び問い合わせ先」までお問い合わせください。</w:t>
      </w:r>
    </w:p>
    <w:p>
      <w:pPr>
        <w:pStyle w:val="Normal"/>
        <w:jc w:val="left"/>
        <w:rPr>
          <w:rFonts w:ascii="ＭＳ Ｐ明朝" w:hAnsi="ＭＳ Ｐ明朝" w:cs="ＭＳ ゴシック" w:asciiTheme="minorEastAsia" w:hAnsiTheme="minorEastAsia"/>
          <w:kern w:val="0"/>
          <w:szCs w:val="21"/>
        </w:rPr>
      </w:pPr>
      <w:r>
        <w:rPr>
          <w:rFonts w:cs="ＭＳ ゴシック" w:ascii="ＭＳ Ｐ明朝" w:hAnsi="ＭＳ Ｐ明朝"/>
          <w:kern w:val="0"/>
          <w:szCs w:val="21"/>
        </w:rPr>
      </w:r>
    </w:p>
    <w:p>
      <w:pPr>
        <w:pStyle w:val="Normal"/>
        <w:jc w:val="left"/>
        <w:rPr>
          <w:rFonts w:ascii="ＭＳ ゴシック" w:hAnsi="ＭＳ ゴシック" w:eastAsia="ＭＳ ゴシック" w:cs="ＭＳ ゴシック"/>
          <w:kern w:val="0"/>
          <w:szCs w:val="21"/>
          <w:u w:val="single"/>
        </w:rPr>
      </w:pPr>
      <w:r>
        <w:rPr>
          <w:rFonts w:ascii="ＭＳ ゴシック" w:hAnsi="ＭＳ ゴシック" w:cs="ＭＳ ゴシック" w:eastAsia="ＭＳ ゴシック"/>
          <w:kern w:val="0"/>
          <w:szCs w:val="21"/>
          <w:u w:val="single"/>
        </w:rPr>
        <w:t>５．参加申込先及び問い合わせ先</w:t>
      </w:r>
    </w:p>
    <w:p>
      <w:pPr>
        <w:pStyle w:val="Normal"/>
        <w:ind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鴻巣市財務部資産管理課（本庁舎 新館２階　１６番窓口）　　　担当：山岸・古川・茨木</w:t>
      </w:r>
    </w:p>
    <w:p>
      <w:pPr>
        <w:pStyle w:val="Normal"/>
        <w:ind w:firstLine="210"/>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w:t>
      </w:r>
      <w:r>
        <w:rPr>
          <w:rFonts w:cs="ＭＳ ゴシック" w:ascii="ＭＳ Ｐ明朝" w:hAnsi="ＭＳ Ｐ明朝" w:asciiTheme="minorEastAsia" w:hAnsiTheme="minorEastAsia"/>
          <w:kern w:val="0"/>
          <w:szCs w:val="21"/>
        </w:rPr>
        <w:t>365</w:t>
      </w:r>
      <w:r>
        <w:rPr>
          <w:rFonts w:ascii="ＭＳ Ｐ明朝" w:hAnsi="ＭＳ Ｐ明朝" w:cs="ＭＳ ゴシック" w:asciiTheme="minorEastAsia" w:hAnsiTheme="minorEastAsia"/>
          <w:kern w:val="0"/>
          <w:szCs w:val="21"/>
        </w:rPr>
        <w:t>－</w:t>
      </w:r>
      <w:r>
        <w:rPr>
          <w:rFonts w:cs="ＭＳ ゴシック" w:ascii="ＭＳ Ｐ明朝" w:hAnsi="ＭＳ Ｐ明朝" w:asciiTheme="minorEastAsia" w:hAnsiTheme="minorEastAsia"/>
          <w:kern w:val="0"/>
          <w:szCs w:val="21"/>
        </w:rPr>
        <w:t>8601</w:t>
      </w:r>
      <w:r>
        <w:rPr>
          <w:rFonts w:ascii="ＭＳ Ｐ明朝" w:hAnsi="ＭＳ Ｐ明朝" w:cs="ＭＳ ゴシック" w:asciiTheme="minorEastAsia" w:hAnsiTheme="minorEastAsia"/>
          <w:kern w:val="0"/>
          <w:szCs w:val="21"/>
        </w:rPr>
        <w:t>　埼玉県鴻巣市中央１－１</w:t>
      </w:r>
    </w:p>
    <w:p>
      <w:pPr>
        <w:pStyle w:val="Normal"/>
        <w:ind w:firstLine="315"/>
        <w:jc w:val="left"/>
        <w:rPr>
          <w:rFonts w:ascii="ＭＳ Ｐ明朝" w:hAnsi="ＭＳ Ｐ明朝" w:cs="ＭＳ ゴシック" w:asciiTheme="minorEastAsia" w:hAnsiTheme="minorEastAsia"/>
          <w:kern w:val="0"/>
          <w:szCs w:val="21"/>
        </w:rPr>
      </w:pPr>
      <w:r>
        <w:rPr>
          <w:rFonts w:ascii="ＭＳ Ｐ明朝" w:hAnsi="ＭＳ Ｐ明朝" w:cs="ＭＳ ゴシック" w:asciiTheme="minorEastAsia" w:hAnsiTheme="minorEastAsia"/>
          <w:kern w:val="0"/>
          <w:szCs w:val="21"/>
        </w:rPr>
        <w:t>電話：</w:t>
      </w:r>
      <w:r>
        <w:rPr>
          <w:rFonts w:cs="ＭＳ ゴシック" w:ascii="ＭＳ Ｐ明朝" w:hAnsi="ＭＳ Ｐ明朝" w:asciiTheme="minorEastAsia" w:hAnsiTheme="minorEastAsia"/>
          <w:kern w:val="0"/>
          <w:szCs w:val="21"/>
        </w:rPr>
        <w:t>048-541-1321</w:t>
      </w:r>
      <w:r>
        <w:rPr>
          <w:rFonts w:ascii="ＭＳ Ｐ明朝" w:hAnsi="ＭＳ Ｐ明朝" w:cs="ＭＳ ゴシック" w:asciiTheme="minorEastAsia" w:hAnsiTheme="minorEastAsia"/>
          <w:kern w:val="0"/>
          <w:szCs w:val="21"/>
        </w:rPr>
        <w:t>（内線</w:t>
      </w:r>
      <w:r>
        <w:rPr>
          <w:rFonts w:cs="ＭＳ ゴシック" w:ascii="ＭＳ Ｐ明朝" w:hAnsi="ＭＳ Ｐ明朝" w:asciiTheme="minorEastAsia" w:hAnsiTheme="minorEastAsia"/>
          <w:kern w:val="0"/>
          <w:szCs w:val="21"/>
        </w:rPr>
        <w:t>2282</w:t>
      </w:r>
      <w:r>
        <w:rPr>
          <w:rFonts w:ascii="ＭＳ Ｐ明朝" w:hAnsi="ＭＳ Ｐ明朝" w:cs="ＭＳ ゴシック" w:asciiTheme="minorEastAsia" w:hAnsiTheme="minorEastAsia"/>
          <w:kern w:val="0"/>
          <w:szCs w:val="21"/>
        </w:rPr>
        <w:t>）</w:t>
      </w:r>
    </w:p>
    <w:p>
      <w:pPr>
        <w:pStyle w:val="Normal"/>
        <w:ind w:firstLine="315"/>
        <w:jc w:val="left"/>
        <w:rPr>
          <w:rFonts w:ascii="ＭＳ Ｐ明朝" w:hAnsi="ＭＳ Ｐ明朝" w:cs="ＭＳ ゴシック" w:asciiTheme="minorEastAsia" w:hAnsiTheme="minorEastAsia"/>
          <w:kern w:val="0"/>
          <w:szCs w:val="21"/>
        </w:rPr>
      </w:pPr>
      <w:r>
        <w:rPr>
          <w:rFonts w:cs="ＭＳ ゴシック" w:ascii="ＭＳ Ｐ明朝" w:hAnsi="ＭＳ Ｐ明朝" w:asciiTheme="minorEastAsia" w:hAnsiTheme="minorEastAsia"/>
          <w:kern w:val="0"/>
          <w:szCs w:val="21"/>
        </w:rPr>
        <w:t>FAX</w:t>
      </w:r>
      <w:r>
        <w:rPr>
          <w:rFonts w:ascii="ＭＳ Ｐ明朝" w:hAnsi="ＭＳ Ｐ明朝" w:cs="ＭＳ ゴシック" w:asciiTheme="minorEastAsia" w:hAnsiTheme="minorEastAsia"/>
          <w:kern w:val="0"/>
          <w:szCs w:val="21"/>
        </w:rPr>
        <w:t>：</w:t>
      </w:r>
      <w:r>
        <w:rPr>
          <w:rFonts w:cs="ＭＳ ゴシック" w:ascii="ＭＳ Ｐ明朝" w:hAnsi="ＭＳ Ｐ明朝" w:asciiTheme="minorEastAsia" w:hAnsiTheme="minorEastAsia"/>
          <w:kern w:val="0"/>
          <w:szCs w:val="21"/>
        </w:rPr>
        <w:t>048-541-9003</w:t>
      </w:r>
    </w:p>
    <w:p>
      <w:pPr>
        <w:pStyle w:val="Normal"/>
        <w:ind w:firstLine="315"/>
        <w:jc w:val="left"/>
        <w:rPr>
          <w:rFonts w:ascii="ＭＳ Ｐ明朝" w:hAnsi="ＭＳ Ｐ明朝" w:cs="ＭＳ ゴシック" w:asciiTheme="minorEastAsia" w:hAnsiTheme="minorEastAsia"/>
          <w:kern w:val="0"/>
          <w:szCs w:val="21"/>
        </w:rPr>
      </w:pPr>
      <w:r>
        <w:rPr>
          <w:rFonts w:cs="ＭＳ ゴシック" w:ascii="ＭＳ Ｐ明朝" w:hAnsi="ＭＳ Ｐ明朝" w:asciiTheme="minorEastAsia" w:hAnsiTheme="minorEastAsia"/>
          <w:kern w:val="0"/>
          <w:szCs w:val="21"/>
        </w:rPr>
        <w:t>E-Mail</w:t>
      </w:r>
      <w:r>
        <w:rPr>
          <w:rFonts w:ascii="ＭＳ Ｐ明朝" w:hAnsi="ＭＳ Ｐ明朝" w:cs="ＭＳ ゴシック" w:asciiTheme="minorEastAsia" w:hAnsiTheme="minorEastAsia"/>
          <w:kern w:val="0"/>
          <w:szCs w:val="21"/>
        </w:rPr>
        <w:t>：</w:t>
      </w:r>
      <w:r>
        <w:rPr>
          <w:rFonts w:cs="ＭＳ ゴシック" w:ascii="ＭＳ Ｐ明朝" w:hAnsi="ＭＳ Ｐ明朝" w:asciiTheme="minorEastAsia" w:hAnsiTheme="minorEastAsia"/>
          <w:kern w:val="0"/>
          <w:szCs w:val="21"/>
        </w:rPr>
        <w:t>kanri@city.kounosu.saitama.jp</w:t>
      </w:r>
    </w:p>
    <w:p>
      <w:pPr>
        <w:pStyle w:val="Normal"/>
        <w:jc w:val="left"/>
        <w:rPr/>
      </w:pPr>
      <w:r>
        <w:rPr/>
      </w:r>
    </w:p>
    <w:sectPr>
      <w:headerReference w:type="default" r:id="rId3"/>
      <w:footerReference w:type="default" r:id="rId4"/>
      <w:type w:val="nextPage"/>
      <w:pgSz w:w="11906" w:h="16838"/>
      <w:pgMar w:left="1080" w:right="1080" w:header="851" w:top="1440" w:footer="624" w:bottom="144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mbria">
    <w:charset w:val="80"/>
    <w:family w:val="roman"/>
    <w:pitch w:val="variable"/>
  </w:font>
  <w:font w:name="ＭＳ 明朝">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Calibri">
    <w:charset w:val="80"/>
    <w:family w:val="auto"/>
    <w:pitch w:val="default"/>
  </w:font>
  <w:font w:name="ＭＳ Ｐ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Ｐ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5cdc"/>
    <w:pPr>
      <w:widowControl w:val="false"/>
      <w:bidi w:val="0"/>
      <w:jc w:val="both"/>
    </w:pPr>
    <w:rPr>
      <w:rFonts w:ascii="Calibri" w:hAnsi="Calibri" w:eastAsia="ＭＳ Ｐ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825a60"/>
    <w:rPr>
      <w:color w:val="0563C1" w:themeColor="hyperlink"/>
      <w:u w:val="single"/>
    </w:rPr>
  </w:style>
  <w:style w:type="character" w:styleId="Style15" w:customStyle="1">
    <w:name w:val="ヘッダー (文字)"/>
    <w:basedOn w:val="DefaultParagraphFont"/>
    <w:link w:val="a5"/>
    <w:uiPriority w:val="99"/>
    <w:qFormat/>
    <w:rsid w:val="00404323"/>
    <w:rPr/>
  </w:style>
  <w:style w:type="character" w:styleId="Style16" w:customStyle="1">
    <w:name w:val="フッター (文字)"/>
    <w:basedOn w:val="DefaultParagraphFont"/>
    <w:link w:val="a7"/>
    <w:uiPriority w:val="99"/>
    <w:qFormat/>
    <w:rsid w:val="00404323"/>
    <w:rPr/>
  </w:style>
  <w:style w:type="character" w:styleId="Annotationreference">
    <w:name w:val="annotation reference"/>
    <w:basedOn w:val="DefaultParagraphFont"/>
    <w:uiPriority w:val="99"/>
    <w:semiHidden/>
    <w:unhideWhenUsed/>
    <w:qFormat/>
    <w:rsid w:val="00bb55c7"/>
    <w:rPr>
      <w:sz w:val="18"/>
      <w:szCs w:val="18"/>
    </w:rPr>
  </w:style>
  <w:style w:type="character" w:styleId="Style17" w:customStyle="1">
    <w:name w:val="コメント文字列 (文字)"/>
    <w:basedOn w:val="DefaultParagraphFont"/>
    <w:link w:val="aa"/>
    <w:uiPriority w:val="99"/>
    <w:semiHidden/>
    <w:qFormat/>
    <w:rsid w:val="00bb55c7"/>
    <w:rPr/>
  </w:style>
  <w:style w:type="character" w:styleId="Style18" w:customStyle="1">
    <w:name w:val="コメント内容 (文字)"/>
    <w:basedOn w:val="Style17"/>
    <w:link w:val="ac"/>
    <w:uiPriority w:val="99"/>
    <w:semiHidden/>
    <w:qFormat/>
    <w:rsid w:val="00bb55c7"/>
    <w:rPr>
      <w:b/>
      <w:bCs/>
    </w:rPr>
  </w:style>
  <w:style w:type="character" w:styleId="Style19" w:customStyle="1">
    <w:name w:val="吹き出し (文字)"/>
    <w:basedOn w:val="DefaultParagraphFont"/>
    <w:link w:val="ae"/>
    <w:uiPriority w:val="99"/>
    <w:semiHidden/>
    <w:qFormat/>
    <w:rsid w:val="00bb55c7"/>
    <w:rPr>
      <w:rFonts w:ascii="Cambria" w:hAnsi="Cambria" w:eastAsia="ＭＳ Ｐゴシック" w:cs="" w:asciiTheme="majorHAnsi" w:cstheme="majorBidi" w:eastAsiaTheme="majorEastAsia" w:hAnsiTheme="majorHAnsi"/>
      <w:sz w:val="18"/>
      <w:szCs w:val="18"/>
    </w:rPr>
  </w:style>
  <w:style w:type="character" w:styleId="ListLabel1">
    <w:name w:val="ListLabel 1"/>
    <w:qFormat/>
    <w:rPr>
      <w:rFonts w:ascii="ＭＳ 明朝" w:hAnsi="ＭＳ 明朝" w:eastAsia="ＭＳ 明朝" w:cs="ＭＳ 明朝"/>
      <w:color w:val="auto"/>
      <w:kern w:val="0"/>
      <w:szCs w:val="21"/>
    </w:rPr>
  </w:style>
  <w:style w:type="paragraph" w:styleId="Style20">
    <w:name w:val="見出し"/>
    <w:basedOn w:val="Normal"/>
    <w:next w:val="Style21"/>
    <w:qFormat/>
    <w:pPr>
      <w:keepNext w:val="true"/>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efault" w:customStyle="1">
    <w:name w:val="Default"/>
    <w:qFormat/>
    <w:rsid w:val="00b26d55"/>
    <w:pPr>
      <w:widowControl w:val="false"/>
      <w:bidi w:val="0"/>
      <w:jc w:val="left"/>
    </w:pPr>
    <w:rPr>
      <w:rFonts w:ascii="ＭＳ 明朝" w:hAnsi="ＭＳ 明朝" w:eastAsia="ＭＳ 明朝" w:cs="ＭＳ 明朝"/>
      <w:color w:val="000000"/>
      <w:kern w:val="0"/>
      <w:sz w:val="24"/>
      <w:szCs w:val="24"/>
      <w:lang w:val="en-US" w:eastAsia="ja-JP" w:bidi="ar-SA"/>
    </w:rPr>
  </w:style>
  <w:style w:type="paragraph" w:styleId="Style25">
    <w:name w:val="Header"/>
    <w:basedOn w:val="Normal"/>
    <w:link w:val="a6"/>
    <w:uiPriority w:val="99"/>
    <w:unhideWhenUsed/>
    <w:rsid w:val="00404323"/>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404323"/>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bb55c7"/>
    <w:pPr>
      <w:jc w:val="left"/>
    </w:pPr>
    <w:rPr/>
  </w:style>
  <w:style w:type="paragraph" w:styleId="Annotationsubject">
    <w:name w:val="annotation subject"/>
    <w:basedOn w:val="Annotationtext"/>
    <w:next w:val="Annotationtext"/>
    <w:link w:val="ad"/>
    <w:uiPriority w:val="99"/>
    <w:semiHidden/>
    <w:unhideWhenUsed/>
    <w:qFormat/>
    <w:rsid w:val="00bb55c7"/>
    <w:pPr/>
    <w:rPr>
      <w:b/>
      <w:bCs/>
    </w:rPr>
  </w:style>
  <w:style w:type="paragraph" w:styleId="BalloonText">
    <w:name w:val="Balloon Text"/>
    <w:basedOn w:val="Normal"/>
    <w:link w:val="af"/>
    <w:uiPriority w:val="99"/>
    <w:semiHidden/>
    <w:unhideWhenUsed/>
    <w:qFormat/>
    <w:rsid w:val="00bb55c7"/>
    <w:pPr/>
    <w:rPr>
      <w:rFonts w:ascii="Cambria" w:hAnsi="Cambria" w:eastAsia="ＭＳ Ｐゴシック" w:cs="" w:asciiTheme="majorHAnsi" w:cstheme="majorBidi" w:eastAsiaTheme="majorEastAsia" w:hAnsiTheme="majorHAnsi"/>
      <w:sz w:val="18"/>
      <w:szCs w:val="1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a570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nri@city.kounosu.saitama.j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ＭＳ Ｐゴシック"/>
        <a:cs typeface=""/>
      </a:majorFont>
      <a:minorFont>
        <a:latin typeface="Calibri"/>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LibreOffice/6.1.1.2$Windows_X86_64 LibreOffice_project/5d19a1bfa650b796764388cd8b33a5af1f5baa1b</Application>
  <Pages>6</Pages>
  <Words>4204</Words>
  <Characters>4436</Characters>
  <CharactersWithSpaces>4757</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2020-09-29T08:02:00Z</dcterms:created>
  <dc:creator/>
  <dc:description/>
  <dc:language>ja-JP</dc:language>
  <cp:lastModifiedBy/>
  <dcterms:modified xsi:type="dcterms:W3CDTF">2020-09-30T10:21:15Z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